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C973" w14:textId="77777777" w:rsidR="00100D93" w:rsidRPr="00B94389" w:rsidRDefault="007D5B13" w:rsidP="00B94389">
      <w:pPr>
        <w:spacing w:after="0" w:line="240" w:lineRule="auto"/>
        <w:jc w:val="right"/>
        <w:rPr>
          <w:rFonts w:ascii="Arial" w:hAnsi="Arial" w:cs="Arial"/>
          <w:sz w:val="24"/>
          <w:szCs w:val="24"/>
          <w:lang w:val="en-US"/>
        </w:rPr>
      </w:pPr>
      <w:r w:rsidRPr="00B94389">
        <w:rPr>
          <w:rFonts w:ascii="Arial" w:hAnsi="Arial" w:cs="Arial"/>
          <w:sz w:val="24"/>
          <w:szCs w:val="24"/>
          <w:lang w:val="en-US"/>
        </w:rPr>
        <w:t xml:space="preserve">GM-v-Department for Communities (PIP) [2021] </w:t>
      </w:r>
      <w:proofErr w:type="spellStart"/>
      <w:r w:rsidRPr="00B94389">
        <w:rPr>
          <w:rFonts w:ascii="Arial" w:hAnsi="Arial" w:cs="Arial"/>
          <w:sz w:val="24"/>
          <w:szCs w:val="24"/>
          <w:lang w:val="en-US"/>
        </w:rPr>
        <w:t>NICom</w:t>
      </w:r>
      <w:proofErr w:type="spellEnd"/>
      <w:r w:rsidRPr="00B94389">
        <w:rPr>
          <w:rFonts w:ascii="Arial" w:hAnsi="Arial" w:cs="Arial"/>
          <w:sz w:val="24"/>
          <w:szCs w:val="24"/>
          <w:lang w:val="en-US"/>
        </w:rPr>
        <w:t xml:space="preserve"> 26</w:t>
      </w:r>
    </w:p>
    <w:p w14:paraId="70204A91" w14:textId="77777777" w:rsidR="007D5B13" w:rsidRPr="00B94389" w:rsidRDefault="007D5B13" w:rsidP="00B94389">
      <w:pPr>
        <w:spacing w:after="0" w:line="240" w:lineRule="auto"/>
        <w:jc w:val="right"/>
        <w:rPr>
          <w:rFonts w:ascii="Arial" w:hAnsi="Arial" w:cs="Arial"/>
          <w:sz w:val="24"/>
          <w:szCs w:val="24"/>
          <w:lang w:val="en-US"/>
        </w:rPr>
      </w:pPr>
    </w:p>
    <w:p w14:paraId="21D99E61" w14:textId="77777777" w:rsidR="007D5B13" w:rsidRPr="00B94389" w:rsidRDefault="007D5B13" w:rsidP="00B94389">
      <w:pPr>
        <w:spacing w:after="0" w:line="240" w:lineRule="auto"/>
        <w:jc w:val="right"/>
        <w:rPr>
          <w:rFonts w:ascii="Arial" w:hAnsi="Arial" w:cs="Arial"/>
          <w:sz w:val="24"/>
          <w:szCs w:val="24"/>
          <w:lang w:val="en-US"/>
        </w:rPr>
      </w:pPr>
      <w:r w:rsidRPr="00B94389">
        <w:rPr>
          <w:rFonts w:ascii="Arial" w:hAnsi="Arial" w:cs="Arial"/>
          <w:sz w:val="24"/>
          <w:szCs w:val="24"/>
          <w:lang w:val="en-US"/>
        </w:rPr>
        <w:t xml:space="preserve">Decision No: </w:t>
      </w:r>
      <w:r w:rsidR="00B94389">
        <w:rPr>
          <w:rFonts w:ascii="Arial" w:hAnsi="Arial" w:cs="Arial"/>
          <w:sz w:val="24"/>
          <w:szCs w:val="24"/>
          <w:lang w:val="en-US"/>
        </w:rPr>
        <w:t xml:space="preserve"> </w:t>
      </w:r>
      <w:r w:rsidRPr="00B94389">
        <w:rPr>
          <w:rFonts w:ascii="Arial" w:hAnsi="Arial" w:cs="Arial"/>
          <w:sz w:val="24"/>
          <w:szCs w:val="24"/>
          <w:lang w:val="en-US"/>
        </w:rPr>
        <w:t>C4/21-22(PIP)</w:t>
      </w:r>
    </w:p>
    <w:p w14:paraId="349DB2E6" w14:textId="77777777" w:rsidR="007D5B13" w:rsidRDefault="007D5B13" w:rsidP="00B94389">
      <w:pPr>
        <w:spacing w:after="0" w:line="240" w:lineRule="auto"/>
        <w:rPr>
          <w:rFonts w:ascii="Arial" w:hAnsi="Arial" w:cs="Arial"/>
          <w:sz w:val="24"/>
          <w:szCs w:val="24"/>
          <w:lang w:val="en-US"/>
        </w:rPr>
      </w:pPr>
    </w:p>
    <w:p w14:paraId="20E4FC38" w14:textId="77777777" w:rsidR="00B94389" w:rsidRDefault="00B94389" w:rsidP="00B94389">
      <w:pPr>
        <w:spacing w:after="0" w:line="240" w:lineRule="auto"/>
        <w:rPr>
          <w:rFonts w:ascii="Arial" w:hAnsi="Arial" w:cs="Arial"/>
          <w:sz w:val="24"/>
          <w:szCs w:val="24"/>
          <w:lang w:val="en-US"/>
        </w:rPr>
      </w:pPr>
    </w:p>
    <w:p w14:paraId="0BACC1F2" w14:textId="77777777" w:rsidR="00B94389" w:rsidRPr="00B94389" w:rsidRDefault="00B94389" w:rsidP="00B94389">
      <w:pPr>
        <w:spacing w:after="0" w:line="240" w:lineRule="auto"/>
        <w:rPr>
          <w:rFonts w:ascii="Arial" w:hAnsi="Arial" w:cs="Arial"/>
          <w:sz w:val="24"/>
          <w:szCs w:val="24"/>
          <w:lang w:val="en-US"/>
        </w:rPr>
      </w:pPr>
    </w:p>
    <w:p w14:paraId="7D990CF8" w14:textId="77777777" w:rsidR="007D5B13" w:rsidRPr="00B94389" w:rsidRDefault="007D5B13" w:rsidP="00B94389">
      <w:pPr>
        <w:spacing w:after="0" w:line="240" w:lineRule="auto"/>
        <w:rPr>
          <w:rFonts w:ascii="Arial" w:hAnsi="Arial" w:cs="Arial"/>
          <w:sz w:val="24"/>
          <w:szCs w:val="24"/>
          <w:lang w:val="en-US"/>
        </w:rPr>
      </w:pPr>
    </w:p>
    <w:p w14:paraId="73937ECD" w14:textId="77777777" w:rsidR="007D5B13" w:rsidRPr="00B94389" w:rsidRDefault="007D5B13" w:rsidP="00B94389">
      <w:pPr>
        <w:suppressAutoHyphens/>
        <w:spacing w:after="0" w:line="240" w:lineRule="auto"/>
        <w:jc w:val="center"/>
        <w:rPr>
          <w:rFonts w:ascii="Arial" w:hAnsi="Arial" w:cs="Arial"/>
          <w:b/>
          <w:bCs/>
          <w:spacing w:val="-3"/>
          <w:sz w:val="24"/>
          <w:szCs w:val="24"/>
        </w:rPr>
      </w:pPr>
      <w:r w:rsidRPr="00B94389">
        <w:rPr>
          <w:rFonts w:ascii="Arial" w:hAnsi="Arial" w:cs="Arial"/>
          <w:b/>
          <w:bCs/>
          <w:spacing w:val="-3"/>
          <w:sz w:val="24"/>
          <w:szCs w:val="24"/>
        </w:rPr>
        <w:t>SOCIAL SECURITY ADMINISTRATION (NORTHERN IRELAND) ACT 1992</w:t>
      </w:r>
    </w:p>
    <w:p w14:paraId="7C747049" w14:textId="77777777" w:rsidR="007D5B13" w:rsidRPr="00B94389" w:rsidRDefault="007D5B13" w:rsidP="00B94389">
      <w:pPr>
        <w:suppressAutoHyphens/>
        <w:spacing w:after="0" w:line="240" w:lineRule="auto"/>
        <w:jc w:val="center"/>
        <w:rPr>
          <w:rFonts w:ascii="Arial" w:hAnsi="Arial" w:cs="Arial"/>
          <w:b/>
          <w:bCs/>
          <w:spacing w:val="-3"/>
          <w:sz w:val="24"/>
          <w:szCs w:val="24"/>
        </w:rPr>
      </w:pPr>
    </w:p>
    <w:p w14:paraId="1A049D6D" w14:textId="77777777" w:rsidR="007D5B13" w:rsidRPr="00B94389" w:rsidRDefault="007D5B13" w:rsidP="00B94389">
      <w:pPr>
        <w:suppressAutoHyphens/>
        <w:spacing w:after="0" w:line="240" w:lineRule="auto"/>
        <w:jc w:val="center"/>
        <w:rPr>
          <w:rFonts w:ascii="Arial" w:hAnsi="Arial" w:cs="Arial"/>
          <w:b/>
          <w:bCs/>
          <w:spacing w:val="-3"/>
          <w:sz w:val="24"/>
          <w:szCs w:val="24"/>
        </w:rPr>
      </w:pPr>
      <w:r w:rsidRPr="00B94389">
        <w:rPr>
          <w:rFonts w:ascii="Arial" w:hAnsi="Arial" w:cs="Arial"/>
          <w:b/>
          <w:bCs/>
          <w:spacing w:val="-3"/>
          <w:sz w:val="24"/>
          <w:szCs w:val="24"/>
        </w:rPr>
        <w:t>SOCIAL SECURITY (NORTHERN IRELAND) ORDER 1998</w:t>
      </w:r>
    </w:p>
    <w:p w14:paraId="3E1830A5" w14:textId="77777777" w:rsidR="007D5B13" w:rsidRPr="00B94389" w:rsidRDefault="007D5B13" w:rsidP="00B94389">
      <w:pPr>
        <w:suppressAutoHyphens/>
        <w:spacing w:after="0" w:line="240" w:lineRule="auto"/>
        <w:jc w:val="center"/>
        <w:rPr>
          <w:rFonts w:ascii="Arial" w:hAnsi="Arial" w:cs="Arial"/>
          <w:b/>
          <w:bCs/>
          <w:spacing w:val="-3"/>
          <w:sz w:val="24"/>
          <w:szCs w:val="24"/>
        </w:rPr>
      </w:pPr>
    </w:p>
    <w:p w14:paraId="410EFFCF" w14:textId="77777777" w:rsidR="007D5B13" w:rsidRPr="00B94389" w:rsidRDefault="007D5B13" w:rsidP="00B94389">
      <w:pPr>
        <w:suppressAutoHyphens/>
        <w:spacing w:after="0" w:line="240" w:lineRule="auto"/>
        <w:jc w:val="center"/>
        <w:rPr>
          <w:rFonts w:ascii="Arial" w:hAnsi="Arial" w:cs="Arial"/>
          <w:b/>
          <w:bCs/>
          <w:spacing w:val="-3"/>
          <w:sz w:val="24"/>
          <w:szCs w:val="24"/>
        </w:rPr>
      </w:pPr>
    </w:p>
    <w:p w14:paraId="7778882E" w14:textId="77777777" w:rsidR="007D5B13" w:rsidRPr="00B94389" w:rsidRDefault="007D5B13" w:rsidP="00B94389">
      <w:pPr>
        <w:tabs>
          <w:tab w:val="center" w:pos="4513"/>
        </w:tabs>
        <w:suppressAutoHyphens/>
        <w:spacing w:after="0" w:line="240" w:lineRule="auto"/>
        <w:jc w:val="center"/>
        <w:rPr>
          <w:rFonts w:ascii="Arial" w:hAnsi="Arial" w:cs="Arial"/>
          <w:spacing w:val="-3"/>
          <w:sz w:val="24"/>
          <w:szCs w:val="24"/>
          <w:u w:val="single"/>
        </w:rPr>
      </w:pPr>
      <w:r w:rsidRPr="00B94389">
        <w:rPr>
          <w:rFonts w:ascii="Arial" w:hAnsi="Arial" w:cs="Arial"/>
          <w:b/>
          <w:bCs/>
          <w:spacing w:val="-3"/>
          <w:sz w:val="24"/>
          <w:szCs w:val="24"/>
          <w:u w:val="single"/>
        </w:rPr>
        <w:t>PERSONAL INDEPENDENCE PAYMENT</w:t>
      </w:r>
    </w:p>
    <w:p w14:paraId="660D40B3" w14:textId="77777777" w:rsidR="007D5B13" w:rsidRPr="00B94389" w:rsidRDefault="007D5B13" w:rsidP="00B94389">
      <w:pPr>
        <w:tabs>
          <w:tab w:val="left" w:pos="-720"/>
        </w:tabs>
        <w:suppressAutoHyphens/>
        <w:spacing w:after="0" w:line="240" w:lineRule="auto"/>
        <w:jc w:val="center"/>
        <w:rPr>
          <w:rFonts w:ascii="Arial" w:hAnsi="Arial" w:cs="Arial"/>
          <w:spacing w:val="-3"/>
          <w:sz w:val="24"/>
          <w:szCs w:val="24"/>
        </w:rPr>
      </w:pPr>
    </w:p>
    <w:p w14:paraId="2577F3C3" w14:textId="77777777" w:rsidR="007D5B13" w:rsidRPr="00B94389" w:rsidRDefault="007D5B13" w:rsidP="00B94389">
      <w:pPr>
        <w:tabs>
          <w:tab w:val="center" w:pos="4513"/>
        </w:tabs>
        <w:suppressAutoHyphens/>
        <w:spacing w:after="0" w:line="240" w:lineRule="auto"/>
        <w:jc w:val="center"/>
        <w:rPr>
          <w:rFonts w:ascii="Arial" w:hAnsi="Arial" w:cs="Arial"/>
          <w:spacing w:val="-3"/>
          <w:sz w:val="24"/>
          <w:szCs w:val="24"/>
        </w:rPr>
      </w:pPr>
      <w:r w:rsidRPr="00B94389">
        <w:rPr>
          <w:rFonts w:ascii="Arial" w:hAnsi="Arial" w:cs="Arial"/>
          <w:spacing w:val="-3"/>
          <w:sz w:val="24"/>
          <w:szCs w:val="24"/>
        </w:rPr>
        <w:t>Application by the claimant for leave to appeal</w:t>
      </w:r>
    </w:p>
    <w:p w14:paraId="05CF466D" w14:textId="77777777" w:rsidR="007D5B13" w:rsidRPr="00B94389" w:rsidRDefault="007D5B13" w:rsidP="00B94389">
      <w:pPr>
        <w:tabs>
          <w:tab w:val="center" w:pos="4513"/>
        </w:tabs>
        <w:suppressAutoHyphens/>
        <w:spacing w:after="0" w:line="240" w:lineRule="auto"/>
        <w:jc w:val="center"/>
        <w:rPr>
          <w:rFonts w:ascii="Arial" w:hAnsi="Arial" w:cs="Arial"/>
          <w:spacing w:val="-3"/>
          <w:sz w:val="24"/>
          <w:szCs w:val="24"/>
        </w:rPr>
      </w:pPr>
      <w:r w:rsidRPr="00B94389">
        <w:rPr>
          <w:rFonts w:ascii="Arial" w:hAnsi="Arial" w:cs="Arial"/>
          <w:spacing w:val="-3"/>
          <w:sz w:val="24"/>
          <w:szCs w:val="24"/>
        </w:rPr>
        <w:t>and appeal to a Social Security Commissioner</w:t>
      </w:r>
    </w:p>
    <w:p w14:paraId="7BCD7B1E" w14:textId="77777777" w:rsidR="007D5B13" w:rsidRPr="00B94389" w:rsidRDefault="007D5B13" w:rsidP="00B94389">
      <w:pPr>
        <w:tabs>
          <w:tab w:val="center" w:pos="4513"/>
        </w:tabs>
        <w:suppressAutoHyphens/>
        <w:spacing w:after="0" w:line="240" w:lineRule="auto"/>
        <w:jc w:val="center"/>
        <w:rPr>
          <w:rFonts w:ascii="Arial" w:hAnsi="Arial" w:cs="Arial"/>
          <w:spacing w:val="-3"/>
          <w:sz w:val="24"/>
          <w:szCs w:val="24"/>
        </w:rPr>
      </w:pPr>
      <w:r w:rsidRPr="00B94389">
        <w:rPr>
          <w:rFonts w:ascii="Arial" w:hAnsi="Arial" w:cs="Arial"/>
          <w:spacing w:val="-3"/>
          <w:sz w:val="24"/>
          <w:szCs w:val="24"/>
        </w:rPr>
        <w:t>on a question of law from a Tribunal’s decision</w:t>
      </w:r>
    </w:p>
    <w:p w14:paraId="14F91E98" w14:textId="77777777" w:rsidR="007D5B13" w:rsidRPr="00B94389" w:rsidRDefault="007D5B13" w:rsidP="00B94389">
      <w:pPr>
        <w:tabs>
          <w:tab w:val="center" w:pos="4513"/>
        </w:tabs>
        <w:suppressAutoHyphens/>
        <w:spacing w:after="0" w:line="240" w:lineRule="auto"/>
        <w:jc w:val="center"/>
        <w:rPr>
          <w:rFonts w:ascii="Arial" w:hAnsi="Arial" w:cs="Arial"/>
          <w:spacing w:val="-3"/>
          <w:sz w:val="24"/>
          <w:szCs w:val="24"/>
        </w:rPr>
      </w:pPr>
      <w:r w:rsidRPr="00B94389">
        <w:rPr>
          <w:rFonts w:ascii="Arial" w:hAnsi="Arial" w:cs="Arial"/>
          <w:spacing w:val="-3"/>
          <w:sz w:val="24"/>
          <w:szCs w:val="24"/>
        </w:rPr>
        <w:t>dated 22 January 2020</w:t>
      </w:r>
    </w:p>
    <w:p w14:paraId="341767E3" w14:textId="77777777" w:rsidR="007D5B13" w:rsidRPr="00B94389" w:rsidRDefault="007D5B13" w:rsidP="00B94389">
      <w:pPr>
        <w:tabs>
          <w:tab w:val="left" w:pos="-720"/>
        </w:tabs>
        <w:suppressAutoHyphens/>
        <w:spacing w:after="0" w:line="240" w:lineRule="auto"/>
        <w:jc w:val="center"/>
        <w:rPr>
          <w:rFonts w:ascii="Arial" w:hAnsi="Arial" w:cs="Arial"/>
          <w:spacing w:val="-3"/>
          <w:sz w:val="24"/>
          <w:szCs w:val="24"/>
        </w:rPr>
      </w:pPr>
    </w:p>
    <w:p w14:paraId="00F951ED" w14:textId="77777777" w:rsidR="007D5B13" w:rsidRPr="00B94389" w:rsidRDefault="007D5B13" w:rsidP="00B94389">
      <w:pPr>
        <w:tabs>
          <w:tab w:val="left" w:pos="-720"/>
        </w:tabs>
        <w:suppressAutoHyphens/>
        <w:spacing w:after="0" w:line="240" w:lineRule="auto"/>
        <w:jc w:val="center"/>
        <w:rPr>
          <w:rFonts w:ascii="Arial" w:hAnsi="Arial" w:cs="Arial"/>
          <w:spacing w:val="-3"/>
          <w:sz w:val="24"/>
          <w:szCs w:val="24"/>
        </w:rPr>
      </w:pPr>
    </w:p>
    <w:p w14:paraId="77C89822" w14:textId="77777777" w:rsidR="007D5B13" w:rsidRPr="00B94389" w:rsidRDefault="007D5B13" w:rsidP="00B94389">
      <w:pPr>
        <w:tabs>
          <w:tab w:val="center" w:pos="4513"/>
        </w:tabs>
        <w:suppressAutoHyphens/>
        <w:spacing w:after="0" w:line="240" w:lineRule="auto"/>
        <w:jc w:val="center"/>
        <w:rPr>
          <w:rFonts w:ascii="Arial" w:hAnsi="Arial" w:cs="Arial"/>
          <w:spacing w:val="-3"/>
          <w:sz w:val="24"/>
          <w:szCs w:val="24"/>
        </w:rPr>
      </w:pPr>
      <w:r w:rsidRPr="00B94389">
        <w:rPr>
          <w:rFonts w:ascii="Arial" w:hAnsi="Arial" w:cs="Arial"/>
          <w:spacing w:val="-3"/>
          <w:sz w:val="24"/>
          <w:szCs w:val="24"/>
          <w:u w:val="single"/>
        </w:rPr>
        <w:t>DECISION OF THE SOCIAL SECURITY COMMISSIONER</w:t>
      </w:r>
    </w:p>
    <w:p w14:paraId="6581428B" w14:textId="77777777" w:rsidR="007D5B13" w:rsidRDefault="007D5B13" w:rsidP="00B94389">
      <w:pPr>
        <w:tabs>
          <w:tab w:val="left" w:pos="-720"/>
        </w:tabs>
        <w:suppressAutoHyphens/>
        <w:spacing w:after="0" w:line="240" w:lineRule="auto"/>
        <w:jc w:val="both"/>
        <w:rPr>
          <w:rFonts w:ascii="Arial" w:hAnsi="Arial" w:cs="Arial"/>
          <w:spacing w:val="-3"/>
          <w:sz w:val="24"/>
          <w:szCs w:val="24"/>
        </w:rPr>
      </w:pPr>
    </w:p>
    <w:p w14:paraId="2AE2ACFB" w14:textId="77777777" w:rsidR="00B94389" w:rsidRPr="00B94389" w:rsidRDefault="00B94389" w:rsidP="00B94389">
      <w:pPr>
        <w:tabs>
          <w:tab w:val="left" w:pos="-720"/>
        </w:tabs>
        <w:suppressAutoHyphens/>
        <w:spacing w:after="0" w:line="240" w:lineRule="auto"/>
        <w:jc w:val="both"/>
        <w:rPr>
          <w:rFonts w:ascii="Arial" w:hAnsi="Arial" w:cs="Arial"/>
          <w:spacing w:val="-3"/>
          <w:sz w:val="24"/>
          <w:szCs w:val="24"/>
        </w:rPr>
      </w:pPr>
    </w:p>
    <w:p w14:paraId="5512F4E5" w14:textId="77777777" w:rsidR="007D5B13" w:rsidRPr="00B94389" w:rsidRDefault="007D5B13" w:rsidP="00B94389">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1.</w:t>
      </w:r>
      <w:r w:rsidRPr="00B94389">
        <w:rPr>
          <w:rFonts w:ascii="Arial" w:hAnsi="Arial" w:cs="Arial"/>
          <w:sz w:val="24"/>
          <w:szCs w:val="24"/>
        </w:rPr>
        <w:tab/>
        <w:t>This is a claimant’s application for leave to appeal from the decision of an appeal tribunal with reference BE/8369/19/02/D.</w:t>
      </w:r>
    </w:p>
    <w:p w14:paraId="5349DB9E" w14:textId="77777777" w:rsidR="007D5B13" w:rsidRPr="00B94389" w:rsidRDefault="007D5B13" w:rsidP="00B94389">
      <w:pPr>
        <w:tabs>
          <w:tab w:val="left" w:pos="510"/>
          <w:tab w:val="left" w:pos="1077"/>
          <w:tab w:val="left" w:pos="1797"/>
        </w:tabs>
        <w:spacing w:after="0" w:line="240" w:lineRule="auto"/>
        <w:ind w:left="510" w:hanging="510"/>
        <w:jc w:val="both"/>
        <w:rPr>
          <w:rFonts w:ascii="Arial" w:hAnsi="Arial" w:cs="Arial"/>
          <w:sz w:val="24"/>
          <w:szCs w:val="24"/>
        </w:rPr>
      </w:pPr>
    </w:p>
    <w:p w14:paraId="537B21DA" w14:textId="77777777" w:rsidR="007D5B13" w:rsidRPr="00B94389" w:rsidRDefault="007D5B13" w:rsidP="00B94389">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2.</w:t>
      </w:r>
      <w:r w:rsidRPr="00B94389">
        <w:rPr>
          <w:rFonts w:ascii="Arial" w:hAnsi="Arial" w:cs="Arial"/>
          <w:sz w:val="24"/>
          <w:szCs w:val="24"/>
        </w:rPr>
        <w:tab/>
        <w:t>An oral hearing of the application has been requested.</w:t>
      </w:r>
      <w:r w:rsidR="00B94389">
        <w:rPr>
          <w:rFonts w:ascii="Arial" w:hAnsi="Arial" w:cs="Arial"/>
          <w:sz w:val="24"/>
          <w:szCs w:val="24"/>
        </w:rPr>
        <w:t xml:space="preserve"> </w:t>
      </w:r>
      <w:r w:rsidRPr="00B94389">
        <w:rPr>
          <w:rFonts w:ascii="Arial" w:hAnsi="Arial" w:cs="Arial"/>
          <w:sz w:val="24"/>
          <w:szCs w:val="24"/>
        </w:rPr>
        <w:t xml:space="preserve"> However, I consider that the proceedings can properly be determined without</w:t>
      </w:r>
      <w:r w:rsidR="00B94389">
        <w:rPr>
          <w:rFonts w:ascii="Arial" w:hAnsi="Arial" w:cs="Arial"/>
          <w:sz w:val="24"/>
          <w:szCs w:val="24"/>
        </w:rPr>
        <w:t xml:space="preserve"> an oral hearing.</w:t>
      </w:r>
    </w:p>
    <w:p w14:paraId="35CE7FCA" w14:textId="77777777" w:rsidR="007D5B13" w:rsidRPr="00B94389" w:rsidRDefault="007D5B13" w:rsidP="00B94389">
      <w:pPr>
        <w:tabs>
          <w:tab w:val="left" w:pos="510"/>
          <w:tab w:val="left" w:pos="1077"/>
          <w:tab w:val="left" w:pos="1797"/>
        </w:tabs>
        <w:spacing w:after="0" w:line="240" w:lineRule="auto"/>
        <w:ind w:left="510" w:hanging="510"/>
        <w:jc w:val="both"/>
        <w:rPr>
          <w:rFonts w:ascii="Arial" w:hAnsi="Arial" w:cs="Arial"/>
          <w:sz w:val="24"/>
          <w:szCs w:val="24"/>
        </w:rPr>
      </w:pPr>
    </w:p>
    <w:p w14:paraId="4E0928D2" w14:textId="77777777" w:rsidR="007D5B13" w:rsidRPr="00B94389" w:rsidRDefault="007D5B13" w:rsidP="00B94389">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3.</w:t>
      </w:r>
      <w:r w:rsidRPr="00B94389">
        <w:rPr>
          <w:rFonts w:ascii="Arial" w:hAnsi="Arial" w:cs="Arial"/>
          <w:sz w:val="24"/>
          <w:szCs w:val="24"/>
        </w:rPr>
        <w:tab/>
        <w:t>For the reasons I give below, I grant leave to appeal.</w:t>
      </w:r>
      <w:r w:rsidR="00B94389">
        <w:rPr>
          <w:rFonts w:ascii="Arial" w:hAnsi="Arial" w:cs="Arial"/>
          <w:sz w:val="24"/>
          <w:szCs w:val="24"/>
        </w:rPr>
        <w:t xml:space="preserve"> </w:t>
      </w:r>
      <w:r w:rsidRPr="00B94389">
        <w:rPr>
          <w:rFonts w:ascii="Arial" w:hAnsi="Arial" w:cs="Arial"/>
          <w:sz w:val="24"/>
          <w:szCs w:val="24"/>
        </w:rPr>
        <w:t xml:space="preserve"> I allow the appeal and I set aside the decision of the appeal tribunal under Article 15(8)(b) of the Social Security (NI) Order 1998 and refer it to a newly constituted tribunal </w:t>
      </w:r>
      <w:r w:rsidR="00B94389">
        <w:rPr>
          <w:rFonts w:ascii="Arial" w:hAnsi="Arial" w:cs="Arial"/>
          <w:sz w:val="24"/>
          <w:szCs w:val="24"/>
        </w:rPr>
        <w:t>for determination.</w:t>
      </w:r>
    </w:p>
    <w:p w14:paraId="506FE238" w14:textId="77777777" w:rsidR="007D5B13" w:rsidRPr="00B94389" w:rsidRDefault="007D5B13" w:rsidP="00B94389">
      <w:pPr>
        <w:tabs>
          <w:tab w:val="left" w:pos="510"/>
          <w:tab w:val="left" w:pos="1077"/>
          <w:tab w:val="left" w:pos="1797"/>
        </w:tabs>
        <w:spacing w:after="0" w:line="240" w:lineRule="auto"/>
        <w:ind w:left="510" w:hanging="510"/>
        <w:jc w:val="both"/>
        <w:rPr>
          <w:rFonts w:ascii="Arial" w:hAnsi="Arial" w:cs="Arial"/>
          <w:sz w:val="24"/>
          <w:szCs w:val="24"/>
        </w:rPr>
      </w:pPr>
    </w:p>
    <w:p w14:paraId="6F4667B1" w14:textId="77777777" w:rsidR="007D5B13" w:rsidRPr="00B94389" w:rsidRDefault="007D5B13" w:rsidP="00B94389">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4.</w:t>
      </w:r>
      <w:r w:rsidRPr="00B94389">
        <w:rPr>
          <w:rFonts w:ascii="Arial" w:hAnsi="Arial" w:cs="Arial"/>
          <w:sz w:val="24"/>
          <w:szCs w:val="24"/>
        </w:rPr>
        <w:tab/>
        <w:t xml:space="preserve">A legal consequence of setting aside the decision of the appeal tribunal is that the appellant no longer satisfies the conditions of entitlement to the mobility component of PIP from 6 April 2018 to 5 April 2021. </w:t>
      </w:r>
      <w:r w:rsidR="00B94389">
        <w:rPr>
          <w:rFonts w:ascii="Arial" w:hAnsi="Arial" w:cs="Arial"/>
          <w:sz w:val="24"/>
          <w:szCs w:val="24"/>
        </w:rPr>
        <w:t xml:space="preserve"> </w:t>
      </w:r>
      <w:r w:rsidRPr="00B94389">
        <w:rPr>
          <w:rFonts w:ascii="Arial" w:hAnsi="Arial" w:cs="Arial"/>
          <w:sz w:val="24"/>
          <w:szCs w:val="24"/>
        </w:rPr>
        <w:t>However, as that period has already passed,</w:t>
      </w:r>
      <w:r w:rsidR="00B94389">
        <w:rPr>
          <w:rFonts w:ascii="Arial" w:hAnsi="Arial" w:cs="Arial"/>
          <w:sz w:val="24"/>
          <w:szCs w:val="24"/>
        </w:rPr>
        <w:t xml:space="preserve"> it is not of practical effect.</w:t>
      </w:r>
    </w:p>
    <w:p w14:paraId="7B04D9F9" w14:textId="77777777" w:rsidR="007D5B13" w:rsidRPr="00B94389" w:rsidRDefault="007D5B13" w:rsidP="00B94389">
      <w:pPr>
        <w:tabs>
          <w:tab w:val="left" w:pos="510"/>
          <w:tab w:val="left" w:pos="1077"/>
          <w:tab w:val="left" w:pos="1797"/>
        </w:tabs>
        <w:spacing w:after="0" w:line="240" w:lineRule="auto"/>
        <w:rPr>
          <w:rFonts w:ascii="Arial" w:hAnsi="Arial" w:cs="Arial"/>
          <w:sz w:val="24"/>
          <w:szCs w:val="24"/>
        </w:rPr>
      </w:pPr>
    </w:p>
    <w:p w14:paraId="042B1C39" w14:textId="77777777" w:rsidR="007D5B13" w:rsidRPr="00B94389" w:rsidRDefault="007D5B13" w:rsidP="00B94389">
      <w:pPr>
        <w:tabs>
          <w:tab w:val="left" w:pos="510"/>
          <w:tab w:val="left" w:pos="1077"/>
          <w:tab w:val="left" w:pos="1797"/>
        </w:tabs>
        <w:spacing w:after="0" w:line="240" w:lineRule="auto"/>
        <w:jc w:val="center"/>
        <w:rPr>
          <w:rFonts w:ascii="Arial" w:hAnsi="Arial" w:cs="Arial"/>
          <w:b/>
          <w:sz w:val="24"/>
          <w:szCs w:val="24"/>
          <w:u w:val="single"/>
        </w:rPr>
      </w:pPr>
      <w:r w:rsidRPr="00B94389">
        <w:rPr>
          <w:rFonts w:ascii="Arial" w:hAnsi="Arial" w:cs="Arial"/>
          <w:b/>
          <w:sz w:val="24"/>
          <w:szCs w:val="24"/>
          <w:u w:val="single"/>
        </w:rPr>
        <w:t>REASONS</w:t>
      </w:r>
    </w:p>
    <w:p w14:paraId="04E66671" w14:textId="77777777" w:rsidR="007D5B13" w:rsidRPr="00B94389" w:rsidRDefault="007D5B13" w:rsidP="00B94389">
      <w:pPr>
        <w:tabs>
          <w:tab w:val="left" w:pos="510"/>
          <w:tab w:val="left" w:pos="1077"/>
          <w:tab w:val="left" w:pos="1797"/>
        </w:tabs>
        <w:spacing w:after="0" w:line="240" w:lineRule="auto"/>
        <w:rPr>
          <w:rFonts w:ascii="Arial" w:hAnsi="Arial" w:cs="Arial"/>
          <w:sz w:val="24"/>
          <w:szCs w:val="24"/>
        </w:rPr>
      </w:pPr>
    </w:p>
    <w:p w14:paraId="15F4A537" w14:textId="77777777" w:rsidR="007D5B13" w:rsidRPr="00B94389" w:rsidRDefault="00B94389" w:rsidP="00B94389">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7D5B13" w:rsidRPr="00B94389">
        <w:rPr>
          <w:rFonts w:ascii="Arial" w:hAnsi="Arial" w:cs="Arial"/>
          <w:b/>
          <w:sz w:val="24"/>
          <w:szCs w:val="24"/>
        </w:rPr>
        <w:t>Background</w:t>
      </w:r>
    </w:p>
    <w:p w14:paraId="6572F03E" w14:textId="77777777" w:rsidR="007D5B13" w:rsidRPr="00B94389" w:rsidRDefault="007D5B13" w:rsidP="00B94389">
      <w:pPr>
        <w:tabs>
          <w:tab w:val="left" w:pos="510"/>
          <w:tab w:val="left" w:pos="1077"/>
          <w:tab w:val="left" w:pos="1797"/>
        </w:tabs>
        <w:spacing w:after="0" w:line="240" w:lineRule="auto"/>
        <w:rPr>
          <w:rFonts w:ascii="Arial" w:hAnsi="Arial" w:cs="Arial"/>
          <w:sz w:val="24"/>
          <w:szCs w:val="24"/>
        </w:rPr>
      </w:pPr>
    </w:p>
    <w:p w14:paraId="05775C62" w14:textId="77777777" w:rsidR="007D5B13" w:rsidRPr="00B94389" w:rsidRDefault="007D5B13" w:rsidP="00F85BC6">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5.</w:t>
      </w:r>
      <w:r w:rsidRPr="00B94389">
        <w:rPr>
          <w:rFonts w:ascii="Arial" w:hAnsi="Arial" w:cs="Arial"/>
          <w:sz w:val="24"/>
          <w:szCs w:val="24"/>
        </w:rPr>
        <w:tab/>
        <w:t xml:space="preserve">This appeal addresses whether a tribunal has correctly directed itself as to the meaning of “social support” for PIP activity 9.c in the context of the UK Supreme Court decision in </w:t>
      </w:r>
      <w:r w:rsidRPr="00B94389">
        <w:rPr>
          <w:rFonts w:ascii="Arial" w:hAnsi="Arial" w:cs="Arial"/>
          <w:i/>
          <w:sz w:val="24"/>
          <w:szCs w:val="24"/>
        </w:rPr>
        <w:t>Secretary of State for Work and Pensions v MM</w:t>
      </w:r>
      <w:r w:rsidR="00B94389">
        <w:rPr>
          <w:rFonts w:ascii="Arial" w:hAnsi="Arial" w:cs="Arial"/>
          <w:sz w:val="24"/>
          <w:szCs w:val="24"/>
        </w:rPr>
        <w:t>.</w:t>
      </w:r>
    </w:p>
    <w:p w14:paraId="4F1FD79E" w14:textId="77777777" w:rsidR="007D5B13" w:rsidRPr="00B94389" w:rsidRDefault="007D5B13" w:rsidP="00F85BC6">
      <w:pPr>
        <w:tabs>
          <w:tab w:val="left" w:pos="510"/>
          <w:tab w:val="left" w:pos="1077"/>
          <w:tab w:val="left" w:pos="1797"/>
        </w:tabs>
        <w:spacing w:after="0" w:line="240" w:lineRule="auto"/>
        <w:ind w:left="510" w:hanging="510"/>
        <w:jc w:val="both"/>
        <w:rPr>
          <w:rFonts w:ascii="Arial" w:hAnsi="Arial" w:cs="Arial"/>
          <w:sz w:val="24"/>
          <w:szCs w:val="24"/>
        </w:rPr>
      </w:pPr>
    </w:p>
    <w:p w14:paraId="139FB533" w14:textId="77777777" w:rsidR="007D5B13" w:rsidRPr="00B94389" w:rsidRDefault="007D5B13" w:rsidP="00F85BC6">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lastRenderedPageBreak/>
        <w:t>6.</w:t>
      </w:r>
      <w:r w:rsidRPr="00B94389">
        <w:rPr>
          <w:rFonts w:ascii="Arial" w:hAnsi="Arial" w:cs="Arial"/>
          <w:sz w:val="24"/>
          <w:szCs w:val="24"/>
        </w:rPr>
        <w:tab/>
        <w:t xml:space="preserve">The appellant claimed personal independence payment (PIP) from the Department for Communities (the Department) from 6 April 2018 on the basis of needs arising from depression, alcohol and substance dependence, possible adult ADHD and right sided foot drop. </w:t>
      </w:r>
      <w:r w:rsidR="00B94389">
        <w:rPr>
          <w:rFonts w:ascii="Arial" w:hAnsi="Arial" w:cs="Arial"/>
          <w:sz w:val="24"/>
          <w:szCs w:val="24"/>
        </w:rPr>
        <w:t xml:space="preserve"> </w:t>
      </w:r>
      <w:r w:rsidRPr="00B94389">
        <w:rPr>
          <w:rFonts w:ascii="Arial" w:hAnsi="Arial" w:cs="Arial"/>
          <w:sz w:val="24"/>
          <w:szCs w:val="24"/>
        </w:rPr>
        <w:t xml:space="preserve">The Department obtained a consultant psychiatrist’s report and a factual report from his general practitioner (GP). </w:t>
      </w:r>
      <w:r w:rsidR="00B94389">
        <w:rPr>
          <w:rFonts w:ascii="Arial" w:hAnsi="Arial" w:cs="Arial"/>
          <w:sz w:val="24"/>
          <w:szCs w:val="24"/>
        </w:rPr>
        <w:t xml:space="preserve"> </w:t>
      </w:r>
      <w:r w:rsidRPr="00B94389">
        <w:rPr>
          <w:rFonts w:ascii="Arial" w:hAnsi="Arial" w:cs="Arial"/>
          <w:sz w:val="24"/>
          <w:szCs w:val="24"/>
        </w:rPr>
        <w:t xml:space="preserve">The appellant was asked to attend a consultation with a healthcare professional (HCP) and the Department received a report of the consultation on 2 August 2018. </w:t>
      </w:r>
      <w:r w:rsidR="00B94389">
        <w:rPr>
          <w:rFonts w:ascii="Arial" w:hAnsi="Arial" w:cs="Arial"/>
          <w:sz w:val="24"/>
          <w:szCs w:val="24"/>
        </w:rPr>
        <w:t xml:space="preserve"> </w:t>
      </w:r>
      <w:r w:rsidRPr="00B94389">
        <w:rPr>
          <w:rFonts w:ascii="Arial" w:hAnsi="Arial" w:cs="Arial"/>
          <w:sz w:val="24"/>
          <w:szCs w:val="24"/>
        </w:rPr>
        <w:t xml:space="preserve">On 10 August 2018 the Department decided that the appellant did not satisfy the conditions of entitlement to PIP from and including 6 April 2018. </w:t>
      </w:r>
      <w:r w:rsidR="00B94389">
        <w:rPr>
          <w:rFonts w:ascii="Arial" w:hAnsi="Arial" w:cs="Arial"/>
          <w:sz w:val="24"/>
          <w:szCs w:val="24"/>
        </w:rPr>
        <w:t xml:space="preserve"> </w:t>
      </w:r>
      <w:r w:rsidRPr="00B94389">
        <w:rPr>
          <w:rFonts w:ascii="Arial" w:hAnsi="Arial" w:cs="Arial"/>
          <w:sz w:val="24"/>
          <w:szCs w:val="24"/>
        </w:rPr>
        <w:t>The appellant requested a reconsideration of the decision, submitting further evidence.</w:t>
      </w:r>
      <w:r w:rsidR="00B94389">
        <w:rPr>
          <w:rFonts w:ascii="Arial" w:hAnsi="Arial" w:cs="Arial"/>
          <w:sz w:val="24"/>
          <w:szCs w:val="24"/>
        </w:rPr>
        <w:t xml:space="preserve"> </w:t>
      </w:r>
      <w:r w:rsidRPr="00B94389">
        <w:rPr>
          <w:rFonts w:ascii="Arial" w:hAnsi="Arial" w:cs="Arial"/>
          <w:sz w:val="24"/>
          <w:szCs w:val="24"/>
        </w:rPr>
        <w:t xml:space="preserve"> Two further supplementary medical reports were obtained by the Department from its medical advisers in response.</w:t>
      </w:r>
      <w:r w:rsidR="00B94389">
        <w:rPr>
          <w:rFonts w:ascii="Arial" w:hAnsi="Arial" w:cs="Arial"/>
          <w:sz w:val="24"/>
          <w:szCs w:val="24"/>
        </w:rPr>
        <w:t xml:space="preserve"> </w:t>
      </w:r>
      <w:r w:rsidRPr="00B94389">
        <w:rPr>
          <w:rFonts w:ascii="Arial" w:hAnsi="Arial" w:cs="Arial"/>
          <w:sz w:val="24"/>
          <w:szCs w:val="24"/>
        </w:rPr>
        <w:t xml:space="preserve"> The appellant was notified that the decision had been reconsidered by the Department but not revised. </w:t>
      </w:r>
      <w:r w:rsidR="00B94389">
        <w:rPr>
          <w:rFonts w:ascii="Arial" w:hAnsi="Arial" w:cs="Arial"/>
          <w:sz w:val="24"/>
          <w:szCs w:val="24"/>
        </w:rPr>
        <w:t xml:space="preserve"> </w:t>
      </w:r>
      <w:r w:rsidRPr="00B94389">
        <w:rPr>
          <w:rFonts w:ascii="Arial" w:hAnsi="Arial" w:cs="Arial"/>
          <w:sz w:val="24"/>
          <w:szCs w:val="24"/>
        </w:rPr>
        <w:t>He appealed.</w:t>
      </w:r>
      <w:r w:rsidR="00B94389">
        <w:rPr>
          <w:rFonts w:ascii="Arial" w:hAnsi="Arial" w:cs="Arial"/>
          <w:sz w:val="24"/>
          <w:szCs w:val="24"/>
        </w:rPr>
        <w:t xml:space="preserve"> </w:t>
      </w:r>
      <w:r w:rsidRPr="00B94389">
        <w:rPr>
          <w:rFonts w:ascii="Arial" w:hAnsi="Arial" w:cs="Arial"/>
          <w:sz w:val="24"/>
          <w:szCs w:val="24"/>
        </w:rPr>
        <w:t xml:space="preserve"> An appeal tribunal decided the case in his absence on 21 June 2019. </w:t>
      </w:r>
      <w:r w:rsidR="00B94389">
        <w:rPr>
          <w:rFonts w:ascii="Arial" w:hAnsi="Arial" w:cs="Arial"/>
          <w:sz w:val="24"/>
          <w:szCs w:val="24"/>
        </w:rPr>
        <w:t xml:space="preserve"> </w:t>
      </w:r>
      <w:r w:rsidRPr="00B94389">
        <w:rPr>
          <w:rFonts w:ascii="Arial" w:hAnsi="Arial" w:cs="Arial"/>
          <w:sz w:val="24"/>
          <w:szCs w:val="24"/>
        </w:rPr>
        <w:t xml:space="preserve">Subsequently it transpired that the appellant had not received notice of the hearing, which had been delivered to the wrong address. </w:t>
      </w:r>
      <w:r w:rsidR="00B94389">
        <w:rPr>
          <w:rFonts w:ascii="Arial" w:hAnsi="Arial" w:cs="Arial"/>
          <w:sz w:val="24"/>
          <w:szCs w:val="24"/>
        </w:rPr>
        <w:t xml:space="preserve"> </w:t>
      </w:r>
      <w:r w:rsidRPr="00B94389">
        <w:rPr>
          <w:rFonts w:ascii="Arial" w:hAnsi="Arial" w:cs="Arial"/>
          <w:sz w:val="24"/>
          <w:szCs w:val="24"/>
        </w:rPr>
        <w:t>The LQM of the tribunal set asid</w:t>
      </w:r>
      <w:r w:rsidR="00B94389">
        <w:rPr>
          <w:rFonts w:ascii="Arial" w:hAnsi="Arial" w:cs="Arial"/>
          <w:sz w:val="24"/>
          <w:szCs w:val="24"/>
        </w:rPr>
        <w:t>e its decision on 31 July 2019.</w:t>
      </w:r>
    </w:p>
    <w:p w14:paraId="70F70F1C" w14:textId="77777777" w:rsidR="007D5B13" w:rsidRPr="00B94389" w:rsidRDefault="007D5B13" w:rsidP="00F85BC6">
      <w:pPr>
        <w:tabs>
          <w:tab w:val="left" w:pos="510"/>
          <w:tab w:val="left" w:pos="1077"/>
          <w:tab w:val="left" w:pos="1797"/>
        </w:tabs>
        <w:spacing w:after="0" w:line="240" w:lineRule="auto"/>
        <w:ind w:left="510" w:hanging="510"/>
        <w:jc w:val="both"/>
        <w:rPr>
          <w:rFonts w:ascii="Arial" w:hAnsi="Arial" w:cs="Arial"/>
          <w:sz w:val="24"/>
          <w:szCs w:val="24"/>
        </w:rPr>
      </w:pPr>
    </w:p>
    <w:p w14:paraId="510B9E1B" w14:textId="77777777" w:rsidR="007D5B13" w:rsidRPr="00B94389" w:rsidRDefault="007D5B13" w:rsidP="00F85BC6">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7.</w:t>
      </w:r>
      <w:r w:rsidRPr="00B94389">
        <w:rPr>
          <w:rFonts w:ascii="Arial" w:hAnsi="Arial" w:cs="Arial"/>
          <w:sz w:val="24"/>
          <w:szCs w:val="24"/>
        </w:rPr>
        <w:tab/>
        <w:t xml:space="preserve">The appeal was considered by a newly constituted tribunal on 22 January 2020, consisting of a legally qualified member (LQM), a medically qualified member and a disability qualified member. </w:t>
      </w:r>
      <w:r w:rsidR="00B94389">
        <w:rPr>
          <w:rFonts w:ascii="Arial" w:hAnsi="Arial" w:cs="Arial"/>
          <w:sz w:val="24"/>
          <w:szCs w:val="24"/>
        </w:rPr>
        <w:t xml:space="preserve"> </w:t>
      </w:r>
      <w:r w:rsidRPr="00B94389">
        <w:rPr>
          <w:rFonts w:ascii="Arial" w:hAnsi="Arial" w:cs="Arial"/>
          <w:sz w:val="24"/>
          <w:szCs w:val="24"/>
        </w:rPr>
        <w:t xml:space="preserve">The tribunal disallowed the appeal in respect of the daily living component but allowed it in respect of mobility component, awarding the standard rate for a three-year period. </w:t>
      </w:r>
      <w:r w:rsidR="00F85BC6">
        <w:rPr>
          <w:rFonts w:ascii="Arial" w:hAnsi="Arial" w:cs="Arial"/>
          <w:sz w:val="24"/>
          <w:szCs w:val="24"/>
        </w:rPr>
        <w:t xml:space="preserve"> </w:t>
      </w:r>
      <w:r w:rsidRPr="00B94389">
        <w:rPr>
          <w:rFonts w:ascii="Arial" w:hAnsi="Arial" w:cs="Arial"/>
          <w:sz w:val="24"/>
          <w:szCs w:val="24"/>
        </w:rPr>
        <w:t xml:space="preserve">The appellant then requested a statement of reasons for the tribunal’s decision and this was issued on 8 September 2020. </w:t>
      </w:r>
      <w:r w:rsidR="00F85BC6">
        <w:rPr>
          <w:rFonts w:ascii="Arial" w:hAnsi="Arial" w:cs="Arial"/>
          <w:sz w:val="24"/>
          <w:szCs w:val="24"/>
        </w:rPr>
        <w:t xml:space="preserve"> </w:t>
      </w:r>
      <w:r w:rsidRPr="00B94389">
        <w:rPr>
          <w:rFonts w:ascii="Arial" w:hAnsi="Arial" w:cs="Arial"/>
          <w:sz w:val="24"/>
          <w:szCs w:val="24"/>
        </w:rPr>
        <w:t>The appellant applied to the LQM for leave to appeal from the decision of the appeal tribunal but leave to appeal was refused by a determination issued on 8 December 2020.</w:t>
      </w:r>
      <w:r w:rsidR="00F85BC6">
        <w:rPr>
          <w:rFonts w:ascii="Arial" w:hAnsi="Arial" w:cs="Arial"/>
          <w:sz w:val="24"/>
          <w:szCs w:val="24"/>
        </w:rPr>
        <w:t xml:space="preserve"> </w:t>
      </w:r>
      <w:r w:rsidRPr="00B94389">
        <w:rPr>
          <w:rFonts w:ascii="Arial" w:hAnsi="Arial" w:cs="Arial"/>
          <w:sz w:val="24"/>
          <w:szCs w:val="24"/>
        </w:rPr>
        <w:t xml:space="preserve"> By an application received on 11 January 2021 the appellant applied to a Social Security Co</w:t>
      </w:r>
      <w:r w:rsidR="00F85BC6">
        <w:rPr>
          <w:rFonts w:ascii="Arial" w:hAnsi="Arial" w:cs="Arial"/>
          <w:sz w:val="24"/>
          <w:szCs w:val="24"/>
        </w:rPr>
        <w:t>mmissioner for leave to appeal.</w:t>
      </w:r>
    </w:p>
    <w:p w14:paraId="45BD523E" w14:textId="77777777" w:rsidR="007D5B13" w:rsidRPr="00B94389" w:rsidRDefault="007D5B13" w:rsidP="00F85BC6">
      <w:pPr>
        <w:tabs>
          <w:tab w:val="left" w:pos="510"/>
          <w:tab w:val="left" w:pos="1077"/>
          <w:tab w:val="left" w:pos="1797"/>
        </w:tabs>
        <w:spacing w:after="0" w:line="240" w:lineRule="auto"/>
        <w:ind w:left="510" w:hanging="510"/>
        <w:jc w:val="both"/>
        <w:rPr>
          <w:rFonts w:ascii="Arial" w:hAnsi="Arial" w:cs="Arial"/>
          <w:sz w:val="24"/>
          <w:szCs w:val="24"/>
        </w:rPr>
      </w:pPr>
    </w:p>
    <w:p w14:paraId="0B08E599" w14:textId="77777777" w:rsidR="007D5B13" w:rsidRPr="00B94389" w:rsidRDefault="007D5B13" w:rsidP="00F85BC6">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8.</w:t>
      </w:r>
      <w:r w:rsidRPr="00B94389">
        <w:rPr>
          <w:rFonts w:ascii="Arial" w:hAnsi="Arial" w:cs="Arial"/>
          <w:sz w:val="24"/>
          <w:szCs w:val="24"/>
        </w:rPr>
        <w:tab/>
        <w:t xml:space="preserve">The appellant was deemed to be late. </w:t>
      </w:r>
      <w:r w:rsidR="00F85BC6">
        <w:rPr>
          <w:rFonts w:ascii="Arial" w:hAnsi="Arial" w:cs="Arial"/>
          <w:sz w:val="24"/>
          <w:szCs w:val="24"/>
        </w:rPr>
        <w:t xml:space="preserve"> </w:t>
      </w:r>
      <w:r w:rsidRPr="00B94389">
        <w:rPr>
          <w:rFonts w:ascii="Arial" w:hAnsi="Arial" w:cs="Arial"/>
          <w:sz w:val="24"/>
          <w:szCs w:val="24"/>
        </w:rPr>
        <w:t>However, the Chief Social Security Commissioner admitted th</w:t>
      </w:r>
      <w:r w:rsidR="00F85BC6">
        <w:rPr>
          <w:rFonts w:ascii="Arial" w:hAnsi="Arial" w:cs="Arial"/>
          <w:sz w:val="24"/>
          <w:szCs w:val="24"/>
        </w:rPr>
        <w:t>e late appeal on 31 March 2021.</w:t>
      </w:r>
    </w:p>
    <w:p w14:paraId="6F5CE696" w14:textId="77777777" w:rsidR="007D5B13" w:rsidRPr="00B94389" w:rsidRDefault="007D5B13" w:rsidP="00B94389">
      <w:pPr>
        <w:tabs>
          <w:tab w:val="left" w:pos="510"/>
          <w:tab w:val="left" w:pos="1077"/>
          <w:tab w:val="left" w:pos="1797"/>
        </w:tabs>
        <w:spacing w:after="0" w:line="240" w:lineRule="auto"/>
        <w:jc w:val="both"/>
        <w:rPr>
          <w:rFonts w:ascii="Arial" w:hAnsi="Arial" w:cs="Arial"/>
          <w:sz w:val="24"/>
          <w:szCs w:val="24"/>
        </w:rPr>
      </w:pPr>
    </w:p>
    <w:p w14:paraId="5A06F7AF" w14:textId="77777777" w:rsidR="007D5B13" w:rsidRPr="00B94389" w:rsidRDefault="00F85BC6" w:rsidP="00B94389">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7D5B13" w:rsidRPr="00B94389">
        <w:rPr>
          <w:rFonts w:ascii="Arial" w:hAnsi="Arial" w:cs="Arial"/>
          <w:b/>
          <w:sz w:val="24"/>
          <w:szCs w:val="24"/>
        </w:rPr>
        <w:t>Grounds</w:t>
      </w:r>
    </w:p>
    <w:p w14:paraId="5858E3B1" w14:textId="77777777" w:rsidR="007D5B13" w:rsidRPr="00B94389" w:rsidRDefault="007D5B13" w:rsidP="00B94389">
      <w:pPr>
        <w:tabs>
          <w:tab w:val="left" w:pos="510"/>
          <w:tab w:val="left" w:pos="1077"/>
          <w:tab w:val="left" w:pos="1797"/>
        </w:tabs>
        <w:spacing w:after="0" w:line="240" w:lineRule="auto"/>
        <w:jc w:val="both"/>
        <w:rPr>
          <w:rFonts w:ascii="Arial" w:hAnsi="Arial" w:cs="Arial"/>
          <w:sz w:val="24"/>
          <w:szCs w:val="24"/>
        </w:rPr>
      </w:pPr>
    </w:p>
    <w:p w14:paraId="6523E573"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9.</w:t>
      </w:r>
      <w:r w:rsidRPr="00B94389">
        <w:rPr>
          <w:rFonts w:ascii="Arial" w:hAnsi="Arial" w:cs="Arial"/>
          <w:sz w:val="24"/>
          <w:szCs w:val="24"/>
        </w:rPr>
        <w:tab/>
        <w:t>The appellant submits that the tribunal has erred in law by conducting an unfair hearing, saying that he was confused and inhibited by medication and did not explain all his circumstances, and that the tribunal had conducted an unfair hearing and made mistakes as</w:t>
      </w:r>
      <w:r w:rsidR="0062646E">
        <w:rPr>
          <w:rFonts w:ascii="Arial" w:hAnsi="Arial" w:cs="Arial"/>
          <w:sz w:val="24"/>
          <w:szCs w:val="24"/>
        </w:rPr>
        <w:t xml:space="preserve"> to material facts as a result.</w:t>
      </w:r>
    </w:p>
    <w:p w14:paraId="2D26590D"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sz w:val="24"/>
          <w:szCs w:val="24"/>
        </w:rPr>
      </w:pPr>
    </w:p>
    <w:p w14:paraId="33330D42"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10.</w:t>
      </w:r>
      <w:r w:rsidRPr="00B94389">
        <w:rPr>
          <w:rFonts w:ascii="Arial" w:hAnsi="Arial" w:cs="Arial"/>
          <w:sz w:val="24"/>
          <w:szCs w:val="24"/>
        </w:rPr>
        <w:tab/>
        <w:t xml:space="preserve">The Department was invited to make observations on the appellant’s grounds. </w:t>
      </w:r>
      <w:r w:rsidR="0062646E">
        <w:rPr>
          <w:rFonts w:ascii="Arial" w:hAnsi="Arial" w:cs="Arial"/>
          <w:sz w:val="24"/>
          <w:szCs w:val="24"/>
        </w:rPr>
        <w:t xml:space="preserve"> </w:t>
      </w:r>
      <w:r w:rsidRPr="00B94389">
        <w:rPr>
          <w:rFonts w:ascii="Arial" w:hAnsi="Arial" w:cs="Arial"/>
          <w:sz w:val="24"/>
          <w:szCs w:val="24"/>
        </w:rPr>
        <w:t xml:space="preserve">Ms Patterson of Decision Making Services (DMS) responded on behalf of the Department. </w:t>
      </w:r>
      <w:r w:rsidR="0062646E">
        <w:rPr>
          <w:rFonts w:ascii="Arial" w:hAnsi="Arial" w:cs="Arial"/>
          <w:sz w:val="24"/>
          <w:szCs w:val="24"/>
        </w:rPr>
        <w:t xml:space="preserve"> </w:t>
      </w:r>
      <w:r w:rsidRPr="00B94389">
        <w:rPr>
          <w:rFonts w:ascii="Arial" w:hAnsi="Arial" w:cs="Arial"/>
          <w:sz w:val="24"/>
          <w:szCs w:val="24"/>
        </w:rPr>
        <w:t xml:space="preserve">Ms Patterson submitted that the tribunal had materially erred in law. </w:t>
      </w:r>
      <w:r w:rsidR="0062646E">
        <w:rPr>
          <w:rFonts w:ascii="Arial" w:hAnsi="Arial" w:cs="Arial"/>
          <w:sz w:val="24"/>
          <w:szCs w:val="24"/>
        </w:rPr>
        <w:t xml:space="preserve"> </w:t>
      </w:r>
      <w:r w:rsidRPr="00B94389">
        <w:rPr>
          <w:rFonts w:ascii="Arial" w:hAnsi="Arial" w:cs="Arial"/>
          <w:sz w:val="24"/>
          <w:szCs w:val="24"/>
        </w:rPr>
        <w:t>She indicated that the Department supported the application on grounds relating to its interpretation of the activity of “Engaging w</w:t>
      </w:r>
      <w:r w:rsidR="0062646E">
        <w:rPr>
          <w:rFonts w:ascii="Arial" w:hAnsi="Arial" w:cs="Arial"/>
          <w:sz w:val="24"/>
          <w:szCs w:val="24"/>
        </w:rPr>
        <w:t>ith other people face to face”.</w:t>
      </w:r>
    </w:p>
    <w:p w14:paraId="48906608" w14:textId="77777777" w:rsidR="007D5B13" w:rsidRPr="00B94389" w:rsidRDefault="007D5B13" w:rsidP="00B94389">
      <w:pPr>
        <w:tabs>
          <w:tab w:val="left" w:pos="510"/>
          <w:tab w:val="left" w:pos="1077"/>
          <w:tab w:val="left" w:pos="1797"/>
        </w:tabs>
        <w:spacing w:after="0" w:line="240" w:lineRule="auto"/>
        <w:jc w:val="both"/>
        <w:rPr>
          <w:rFonts w:ascii="Arial" w:hAnsi="Arial" w:cs="Arial"/>
          <w:sz w:val="24"/>
          <w:szCs w:val="24"/>
        </w:rPr>
      </w:pPr>
    </w:p>
    <w:p w14:paraId="66A71E91" w14:textId="77777777" w:rsidR="007D5B13" w:rsidRPr="00B94389" w:rsidRDefault="0062646E" w:rsidP="00B94389">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lastRenderedPageBreak/>
        <w:tab/>
      </w:r>
      <w:r w:rsidR="007D5B13" w:rsidRPr="00B94389">
        <w:rPr>
          <w:rFonts w:ascii="Arial" w:hAnsi="Arial" w:cs="Arial"/>
          <w:b/>
          <w:sz w:val="24"/>
          <w:szCs w:val="24"/>
        </w:rPr>
        <w:t>The tribunal’s decision</w:t>
      </w:r>
    </w:p>
    <w:p w14:paraId="344C7C77" w14:textId="77777777" w:rsidR="007D5B13" w:rsidRPr="00B94389" w:rsidRDefault="007D5B13" w:rsidP="00B94389">
      <w:pPr>
        <w:tabs>
          <w:tab w:val="left" w:pos="510"/>
          <w:tab w:val="left" w:pos="1077"/>
          <w:tab w:val="left" w:pos="1797"/>
        </w:tabs>
        <w:spacing w:after="0" w:line="240" w:lineRule="auto"/>
        <w:jc w:val="both"/>
        <w:rPr>
          <w:rFonts w:ascii="Arial" w:hAnsi="Arial" w:cs="Arial"/>
          <w:sz w:val="24"/>
          <w:szCs w:val="24"/>
        </w:rPr>
      </w:pPr>
    </w:p>
    <w:p w14:paraId="754FA842"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11.</w:t>
      </w:r>
      <w:r w:rsidRPr="00B94389">
        <w:rPr>
          <w:rFonts w:ascii="Arial" w:hAnsi="Arial" w:cs="Arial"/>
          <w:sz w:val="24"/>
          <w:szCs w:val="24"/>
        </w:rPr>
        <w:tab/>
        <w:t xml:space="preserve">The LQM has prepared a statement of reasons for the tribunal’s decision. </w:t>
      </w:r>
      <w:r w:rsidR="0062646E">
        <w:rPr>
          <w:rFonts w:ascii="Arial" w:hAnsi="Arial" w:cs="Arial"/>
          <w:sz w:val="24"/>
          <w:szCs w:val="24"/>
        </w:rPr>
        <w:t xml:space="preserve"> </w:t>
      </w:r>
      <w:r w:rsidRPr="00B94389">
        <w:rPr>
          <w:rFonts w:ascii="Arial" w:hAnsi="Arial" w:cs="Arial"/>
          <w:sz w:val="24"/>
          <w:szCs w:val="24"/>
        </w:rPr>
        <w:t xml:space="preserve">From this I can see that the tribunal had documentary material before it consisting of the Department’s submission, containing a consultant psychiatrist’s report, a general practitioner (GP) factual report, an audited consultation report from the HCP, further evidence and a GP letter.  The tribunal had a written submission from the appellant’s representative and various medical records and reports submitted. </w:t>
      </w:r>
      <w:r w:rsidR="0062646E">
        <w:rPr>
          <w:rFonts w:ascii="Arial" w:hAnsi="Arial" w:cs="Arial"/>
          <w:sz w:val="24"/>
          <w:szCs w:val="24"/>
        </w:rPr>
        <w:t xml:space="preserve"> </w:t>
      </w:r>
      <w:r w:rsidRPr="00B94389">
        <w:rPr>
          <w:rFonts w:ascii="Arial" w:hAnsi="Arial" w:cs="Arial"/>
          <w:sz w:val="24"/>
          <w:szCs w:val="24"/>
        </w:rPr>
        <w:t xml:space="preserve">The appellant attended the hearing, represented by Mr O’Hare and accompanied by Ms Forbes. </w:t>
      </w:r>
      <w:r w:rsidR="0062646E">
        <w:rPr>
          <w:rFonts w:ascii="Arial" w:hAnsi="Arial" w:cs="Arial"/>
          <w:sz w:val="24"/>
          <w:szCs w:val="24"/>
        </w:rPr>
        <w:t xml:space="preserve"> </w:t>
      </w:r>
      <w:r w:rsidRPr="00B94389">
        <w:rPr>
          <w:rFonts w:ascii="Arial" w:hAnsi="Arial" w:cs="Arial"/>
          <w:sz w:val="24"/>
          <w:szCs w:val="24"/>
        </w:rPr>
        <w:t>The Department was repres</w:t>
      </w:r>
      <w:r w:rsidR="0062646E">
        <w:rPr>
          <w:rFonts w:ascii="Arial" w:hAnsi="Arial" w:cs="Arial"/>
          <w:sz w:val="24"/>
          <w:szCs w:val="24"/>
        </w:rPr>
        <w:t>ented by Mr Smith.</w:t>
      </w:r>
    </w:p>
    <w:p w14:paraId="0BF6F3AD"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sz w:val="24"/>
          <w:szCs w:val="24"/>
        </w:rPr>
      </w:pPr>
    </w:p>
    <w:p w14:paraId="1BEEE587"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12.</w:t>
      </w:r>
      <w:r w:rsidRPr="00B94389">
        <w:rPr>
          <w:rFonts w:ascii="Arial" w:hAnsi="Arial" w:cs="Arial"/>
          <w:sz w:val="24"/>
          <w:szCs w:val="24"/>
        </w:rPr>
        <w:tab/>
        <w:t xml:space="preserve">The tribunal observed that the appellant claimed points in relation to mental difficulties and physical difficulties, but that the medical records did not mention physical restrictions. </w:t>
      </w:r>
      <w:r w:rsidR="0062646E">
        <w:rPr>
          <w:rFonts w:ascii="Arial" w:hAnsi="Arial" w:cs="Arial"/>
          <w:sz w:val="24"/>
          <w:szCs w:val="24"/>
        </w:rPr>
        <w:t xml:space="preserve"> </w:t>
      </w:r>
      <w:r w:rsidRPr="00B94389">
        <w:rPr>
          <w:rFonts w:ascii="Arial" w:hAnsi="Arial" w:cs="Arial"/>
          <w:sz w:val="24"/>
          <w:szCs w:val="24"/>
        </w:rPr>
        <w:t xml:space="preserve">The appellant had claimed to have been shot in both knees in 1991 and to suffer from alcohol and substance addiction with drug-induced psychosis and possible ADHD. </w:t>
      </w:r>
      <w:r w:rsidR="0062646E">
        <w:rPr>
          <w:rFonts w:ascii="Arial" w:hAnsi="Arial" w:cs="Arial"/>
          <w:sz w:val="24"/>
          <w:szCs w:val="24"/>
        </w:rPr>
        <w:t xml:space="preserve"> </w:t>
      </w:r>
      <w:r w:rsidRPr="00B94389">
        <w:rPr>
          <w:rFonts w:ascii="Arial" w:hAnsi="Arial" w:cs="Arial"/>
          <w:sz w:val="24"/>
          <w:szCs w:val="24"/>
        </w:rPr>
        <w:t>It awarded points for the daily living activity 1.d (Preparing food), 4.c (Washing and bathing) and 9.b (Engaging with other people).</w:t>
      </w:r>
      <w:r w:rsidR="0062646E">
        <w:rPr>
          <w:rFonts w:ascii="Arial" w:hAnsi="Arial" w:cs="Arial"/>
          <w:sz w:val="24"/>
          <w:szCs w:val="24"/>
        </w:rPr>
        <w:t xml:space="preserve"> </w:t>
      </w:r>
      <w:r w:rsidRPr="00B94389">
        <w:rPr>
          <w:rFonts w:ascii="Arial" w:hAnsi="Arial" w:cs="Arial"/>
          <w:sz w:val="24"/>
          <w:szCs w:val="24"/>
        </w:rPr>
        <w:t xml:space="preserve"> It declined to award points in disputed activities 5 (Managing toilet needs) and 6 (Dressing and undressing). </w:t>
      </w:r>
      <w:r w:rsidR="0062646E">
        <w:rPr>
          <w:rFonts w:ascii="Arial" w:hAnsi="Arial" w:cs="Arial"/>
          <w:sz w:val="24"/>
          <w:szCs w:val="24"/>
        </w:rPr>
        <w:t xml:space="preserve"> </w:t>
      </w:r>
      <w:r w:rsidRPr="00B94389">
        <w:rPr>
          <w:rFonts w:ascii="Arial" w:hAnsi="Arial" w:cs="Arial"/>
          <w:sz w:val="24"/>
          <w:szCs w:val="24"/>
        </w:rPr>
        <w:t xml:space="preserve">As this totalled 6 points it did not reach the daily living threshold. </w:t>
      </w:r>
      <w:r w:rsidR="0062646E">
        <w:rPr>
          <w:rFonts w:ascii="Arial" w:hAnsi="Arial" w:cs="Arial"/>
          <w:sz w:val="24"/>
          <w:szCs w:val="24"/>
        </w:rPr>
        <w:t xml:space="preserve"> </w:t>
      </w:r>
      <w:r w:rsidRPr="00B94389">
        <w:rPr>
          <w:rFonts w:ascii="Arial" w:hAnsi="Arial" w:cs="Arial"/>
          <w:sz w:val="24"/>
          <w:szCs w:val="24"/>
        </w:rPr>
        <w:t>It accepted that he scored points for mobility activity 1.d, due to hypervigilance and paranoia.</w:t>
      </w:r>
      <w:r w:rsidR="0062646E">
        <w:rPr>
          <w:rFonts w:ascii="Arial" w:hAnsi="Arial" w:cs="Arial"/>
          <w:sz w:val="24"/>
          <w:szCs w:val="24"/>
        </w:rPr>
        <w:t xml:space="preserve"> </w:t>
      </w:r>
      <w:r w:rsidRPr="00B94389">
        <w:rPr>
          <w:rFonts w:ascii="Arial" w:hAnsi="Arial" w:cs="Arial"/>
          <w:sz w:val="24"/>
          <w:szCs w:val="24"/>
        </w:rPr>
        <w:t xml:space="preserve"> It awarded standard rate mobility component for three years.</w:t>
      </w:r>
    </w:p>
    <w:p w14:paraId="36E82FEE" w14:textId="77777777" w:rsidR="007D5B13" w:rsidRPr="00B94389" w:rsidRDefault="007D5B13" w:rsidP="00B94389">
      <w:pPr>
        <w:tabs>
          <w:tab w:val="left" w:pos="510"/>
          <w:tab w:val="left" w:pos="1077"/>
          <w:tab w:val="left" w:pos="1797"/>
        </w:tabs>
        <w:spacing w:after="0" w:line="240" w:lineRule="auto"/>
        <w:jc w:val="both"/>
        <w:rPr>
          <w:rFonts w:ascii="Arial" w:hAnsi="Arial" w:cs="Arial"/>
          <w:sz w:val="24"/>
          <w:szCs w:val="24"/>
        </w:rPr>
      </w:pPr>
    </w:p>
    <w:p w14:paraId="048386AB" w14:textId="77777777" w:rsidR="007D5B13" w:rsidRPr="00B94389" w:rsidRDefault="0062646E" w:rsidP="00B94389">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7D5B13" w:rsidRPr="00B94389">
        <w:rPr>
          <w:rFonts w:ascii="Arial" w:hAnsi="Arial" w:cs="Arial"/>
          <w:b/>
          <w:sz w:val="24"/>
          <w:szCs w:val="24"/>
        </w:rPr>
        <w:t>Relevant legislation</w:t>
      </w:r>
    </w:p>
    <w:p w14:paraId="44D2135B" w14:textId="77777777" w:rsidR="007D5B13" w:rsidRPr="00B94389" w:rsidRDefault="007D5B13" w:rsidP="00B94389">
      <w:pPr>
        <w:tabs>
          <w:tab w:val="left" w:pos="510"/>
          <w:tab w:val="left" w:pos="1077"/>
          <w:tab w:val="left" w:pos="1797"/>
        </w:tabs>
        <w:spacing w:after="0" w:line="240" w:lineRule="auto"/>
        <w:jc w:val="both"/>
        <w:rPr>
          <w:rFonts w:ascii="Arial" w:hAnsi="Arial" w:cs="Arial"/>
          <w:b/>
          <w:sz w:val="24"/>
          <w:szCs w:val="24"/>
        </w:rPr>
      </w:pPr>
    </w:p>
    <w:p w14:paraId="4A3D5D9A"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13.</w:t>
      </w:r>
      <w:r w:rsidRPr="00B94389">
        <w:rPr>
          <w:rFonts w:ascii="Arial" w:hAnsi="Arial" w:cs="Arial"/>
          <w:sz w:val="24"/>
          <w:szCs w:val="24"/>
        </w:rPr>
        <w:tab/>
        <w:t xml:space="preserve">PIP was established by article 82 of the Welfare Reform (NI) Order 2015. </w:t>
      </w:r>
      <w:r w:rsidR="0062646E">
        <w:rPr>
          <w:rFonts w:ascii="Arial" w:hAnsi="Arial" w:cs="Arial"/>
          <w:sz w:val="24"/>
          <w:szCs w:val="24"/>
        </w:rPr>
        <w:t xml:space="preserve"> </w:t>
      </w:r>
      <w:r w:rsidRPr="00B94389">
        <w:rPr>
          <w:rFonts w:ascii="Arial" w:hAnsi="Arial" w:cs="Arial"/>
          <w:sz w:val="24"/>
          <w:szCs w:val="24"/>
        </w:rPr>
        <w:t>It consists of a daily living component and a mobility component.</w:t>
      </w:r>
      <w:r w:rsidR="0062646E">
        <w:rPr>
          <w:rFonts w:ascii="Arial" w:hAnsi="Arial" w:cs="Arial"/>
          <w:sz w:val="24"/>
          <w:szCs w:val="24"/>
        </w:rPr>
        <w:t xml:space="preserve"> </w:t>
      </w:r>
      <w:r w:rsidRPr="00B94389">
        <w:rPr>
          <w:rFonts w:ascii="Arial" w:hAnsi="Arial" w:cs="Arial"/>
          <w:sz w:val="24"/>
          <w:szCs w:val="24"/>
        </w:rPr>
        <w:t xml:space="preserve"> These components may be payable to claimants whose ability to carry out daily activities or mobility activities is limited, or severely limited, by their physical or mental condition. </w:t>
      </w:r>
      <w:r w:rsidR="0062646E">
        <w:rPr>
          <w:rFonts w:ascii="Arial" w:hAnsi="Arial" w:cs="Arial"/>
          <w:sz w:val="24"/>
          <w:szCs w:val="24"/>
        </w:rPr>
        <w:t xml:space="preserve"> </w:t>
      </w:r>
      <w:r w:rsidRPr="00B94389">
        <w:rPr>
          <w:rFonts w:ascii="Arial" w:hAnsi="Arial" w:cs="Arial"/>
          <w:sz w:val="24"/>
          <w:szCs w:val="24"/>
        </w:rPr>
        <w:t>The Personal Independence Payment Regulations (NI) 2016 (the 2016 Regulations) set out the detailed requirements for s</w:t>
      </w:r>
      <w:r w:rsidR="0062646E">
        <w:rPr>
          <w:rFonts w:ascii="Arial" w:hAnsi="Arial" w:cs="Arial"/>
          <w:sz w:val="24"/>
          <w:szCs w:val="24"/>
        </w:rPr>
        <w:t>atisfying the above conditions.</w:t>
      </w:r>
    </w:p>
    <w:p w14:paraId="2F3CCB17"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sz w:val="24"/>
          <w:szCs w:val="24"/>
        </w:rPr>
      </w:pPr>
    </w:p>
    <w:p w14:paraId="4A480BA5"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14.</w:t>
      </w:r>
      <w:r w:rsidRPr="00B94389">
        <w:rPr>
          <w:rFonts w:ascii="Arial" w:hAnsi="Arial" w:cs="Arial"/>
          <w:sz w:val="24"/>
          <w:szCs w:val="24"/>
        </w:rPr>
        <w:tab/>
        <w:t xml:space="preserve">The 2016 Regulations provide for points to be awarded when a descriptor set out in Schedule 1, Part 2 (daily living activities table) or Schedule 1, Part 3 (mobility activities table) is satisfied. </w:t>
      </w:r>
      <w:r w:rsidR="0062646E">
        <w:rPr>
          <w:rFonts w:ascii="Arial" w:hAnsi="Arial" w:cs="Arial"/>
          <w:sz w:val="24"/>
          <w:szCs w:val="24"/>
        </w:rPr>
        <w:t xml:space="preserve"> </w:t>
      </w:r>
      <w:r w:rsidRPr="00B94389">
        <w:rPr>
          <w:rFonts w:ascii="Arial" w:hAnsi="Arial" w:cs="Arial"/>
          <w:sz w:val="24"/>
          <w:szCs w:val="24"/>
        </w:rPr>
        <w:t>Subject to other conditions of entitlement, in each of the components a claimant who obtains a score of 8 points will be awarded the standard rate of that component, while a clamant who obtains a score of 12 points will be awarded the enh</w:t>
      </w:r>
      <w:r w:rsidR="0062646E">
        <w:rPr>
          <w:rFonts w:ascii="Arial" w:hAnsi="Arial" w:cs="Arial"/>
          <w:sz w:val="24"/>
          <w:szCs w:val="24"/>
        </w:rPr>
        <w:t>anced rate of that component.</w:t>
      </w:r>
    </w:p>
    <w:p w14:paraId="48F38E0F"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sz w:val="24"/>
          <w:szCs w:val="24"/>
        </w:rPr>
      </w:pPr>
    </w:p>
    <w:p w14:paraId="429DBC7A" w14:textId="77777777" w:rsidR="007D5B13" w:rsidRPr="00B94389" w:rsidRDefault="00E83A01" w:rsidP="0062646E">
      <w:pPr>
        <w:tabs>
          <w:tab w:val="left" w:pos="510"/>
          <w:tab w:val="left" w:pos="1077"/>
          <w:tab w:val="left" w:pos="1797"/>
        </w:tabs>
        <w:autoSpaceDE w:val="0"/>
        <w:autoSpaceDN w:val="0"/>
        <w:adjustRightInd w:val="0"/>
        <w:spacing w:after="0" w:line="240" w:lineRule="auto"/>
        <w:ind w:left="510" w:hanging="510"/>
        <w:jc w:val="both"/>
        <w:rPr>
          <w:rFonts w:ascii="Arial" w:hAnsi="Arial" w:cs="Arial"/>
          <w:bCs/>
          <w:sz w:val="24"/>
          <w:szCs w:val="24"/>
          <w:lang w:eastAsia="en-GB"/>
        </w:rPr>
      </w:pPr>
      <w:r w:rsidRPr="00B94389">
        <w:rPr>
          <w:rFonts w:ascii="Arial" w:hAnsi="Arial" w:cs="Arial"/>
          <w:bCs/>
          <w:sz w:val="24"/>
          <w:szCs w:val="24"/>
          <w:lang w:eastAsia="en-GB"/>
        </w:rPr>
        <w:t>15.</w:t>
      </w:r>
      <w:r w:rsidRPr="00B94389">
        <w:rPr>
          <w:rFonts w:ascii="Arial" w:hAnsi="Arial" w:cs="Arial"/>
          <w:bCs/>
          <w:sz w:val="24"/>
          <w:szCs w:val="24"/>
          <w:lang w:eastAsia="en-GB"/>
        </w:rPr>
        <w:tab/>
      </w:r>
      <w:r w:rsidR="007D5B13" w:rsidRPr="00B94389">
        <w:rPr>
          <w:rFonts w:ascii="Arial" w:hAnsi="Arial" w:cs="Arial"/>
          <w:bCs/>
          <w:sz w:val="24"/>
          <w:szCs w:val="24"/>
          <w:lang w:eastAsia="en-GB"/>
        </w:rPr>
        <w:t>Additionally, by regulation 4, certain other parameters for the assessment of daily living and mobility activities, as follows:</w:t>
      </w:r>
    </w:p>
    <w:p w14:paraId="385464CB" w14:textId="77777777" w:rsidR="007D5B13" w:rsidRPr="00B94389" w:rsidRDefault="007D5B13" w:rsidP="00B94389">
      <w:pPr>
        <w:tabs>
          <w:tab w:val="left" w:pos="510"/>
          <w:tab w:val="left" w:pos="1077"/>
          <w:tab w:val="left" w:pos="1797"/>
        </w:tabs>
        <w:autoSpaceDE w:val="0"/>
        <w:autoSpaceDN w:val="0"/>
        <w:adjustRightInd w:val="0"/>
        <w:spacing w:after="0" w:line="240" w:lineRule="auto"/>
        <w:jc w:val="both"/>
        <w:rPr>
          <w:rFonts w:ascii="Arial" w:hAnsi="Arial" w:cs="Arial"/>
          <w:b/>
          <w:bCs/>
          <w:sz w:val="24"/>
          <w:szCs w:val="24"/>
          <w:lang w:eastAsia="en-GB"/>
        </w:rPr>
      </w:pPr>
    </w:p>
    <w:p w14:paraId="18AB9CBC" w14:textId="77777777" w:rsidR="007D5B13" w:rsidRPr="00284C98" w:rsidRDefault="00B7405D"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b/>
          <w:bCs/>
          <w:sz w:val="24"/>
          <w:szCs w:val="24"/>
          <w:lang w:eastAsia="en-GB"/>
        </w:rPr>
        <w:tab/>
      </w:r>
      <w:r w:rsidR="007D5B13" w:rsidRPr="00284C98">
        <w:rPr>
          <w:rFonts w:ascii="Arial" w:hAnsi="Arial" w:cs="Arial"/>
          <w:b/>
          <w:bCs/>
          <w:sz w:val="24"/>
          <w:szCs w:val="24"/>
          <w:lang w:eastAsia="en-GB"/>
        </w:rPr>
        <w:t>4.</w:t>
      </w:r>
      <w:r w:rsidR="007D5B13" w:rsidRPr="00284C98">
        <w:rPr>
          <w:rFonts w:ascii="Arial" w:hAnsi="Arial" w:cs="Arial"/>
          <w:sz w:val="24"/>
          <w:szCs w:val="24"/>
          <w:lang w:eastAsia="en-GB"/>
        </w:rPr>
        <w:t xml:space="preserve">—(1) For the purposes of Article 82(2) and Article 83 or, as the case may be, 84 whether C has limited or severely limited ability to carry out daily living or mobility activities, as a result of C’s physical or mental condition, </w:t>
      </w:r>
      <w:r w:rsidR="007D5B13" w:rsidRPr="00284C98">
        <w:rPr>
          <w:rFonts w:ascii="Arial" w:hAnsi="Arial" w:cs="Arial"/>
          <w:sz w:val="24"/>
          <w:szCs w:val="24"/>
          <w:lang w:eastAsia="en-GB"/>
        </w:rPr>
        <w:lastRenderedPageBreak/>
        <w:t>is to be determined on the basis of an assessment taking account of relevant medical evidence.</w:t>
      </w:r>
    </w:p>
    <w:p w14:paraId="0AA89BBC" w14:textId="77777777" w:rsidR="007D5B13" w:rsidRPr="00284C98" w:rsidRDefault="007D5B13"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016B410F" w14:textId="77777777" w:rsidR="007D5B13" w:rsidRPr="00284C98" w:rsidRDefault="00B7405D"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7D5B13" w:rsidRPr="00284C98">
        <w:rPr>
          <w:rFonts w:ascii="Arial" w:hAnsi="Arial" w:cs="Arial"/>
          <w:sz w:val="24"/>
          <w:szCs w:val="24"/>
          <w:lang w:eastAsia="en-GB"/>
        </w:rPr>
        <w:t>(2) C’s ability to carry out an activity is to be assessed—</w:t>
      </w:r>
    </w:p>
    <w:p w14:paraId="0AAB940D" w14:textId="77777777" w:rsidR="007D5B13" w:rsidRPr="00284C98" w:rsidRDefault="007D5B13"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735B61A8" w14:textId="77777777" w:rsidR="007D5B13" w:rsidRPr="00284C98" w:rsidRDefault="00B7405D" w:rsidP="00B7405D">
      <w:pPr>
        <w:tabs>
          <w:tab w:val="left" w:pos="510"/>
          <w:tab w:val="left" w:pos="1077"/>
          <w:tab w:val="left" w:pos="1797"/>
        </w:tabs>
        <w:spacing w:after="0" w:line="240" w:lineRule="auto"/>
        <w:ind w:left="1077" w:hanging="1077"/>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(a) on the basis of C’s ability whilst wearing or using any aid or appliance which C normally wears or uses; or</w:t>
      </w:r>
    </w:p>
    <w:p w14:paraId="13BE5272" w14:textId="77777777" w:rsidR="007D5B13" w:rsidRPr="00284C98" w:rsidRDefault="007D5B13" w:rsidP="00B7405D">
      <w:pPr>
        <w:tabs>
          <w:tab w:val="left" w:pos="510"/>
          <w:tab w:val="left" w:pos="1077"/>
          <w:tab w:val="left" w:pos="1797"/>
        </w:tabs>
        <w:spacing w:after="0" w:line="240" w:lineRule="auto"/>
        <w:ind w:left="1077" w:hanging="1077"/>
        <w:jc w:val="both"/>
        <w:rPr>
          <w:rFonts w:ascii="Arial" w:hAnsi="Arial" w:cs="Arial"/>
          <w:sz w:val="24"/>
          <w:szCs w:val="24"/>
          <w:lang w:eastAsia="en-GB"/>
        </w:rPr>
      </w:pPr>
    </w:p>
    <w:p w14:paraId="076DAA92" w14:textId="77777777" w:rsidR="007D5B13" w:rsidRPr="00284C98" w:rsidRDefault="00B7405D" w:rsidP="00B7405D">
      <w:pPr>
        <w:tabs>
          <w:tab w:val="left" w:pos="510"/>
          <w:tab w:val="left" w:pos="1077"/>
          <w:tab w:val="left" w:pos="1797"/>
        </w:tabs>
        <w:spacing w:after="0" w:line="240" w:lineRule="auto"/>
        <w:ind w:left="1077" w:hanging="1077"/>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(b) as if C were wearing or using any aid or appliance which C could reasonably be expected to wear or use.</w:t>
      </w:r>
    </w:p>
    <w:p w14:paraId="15355DA3" w14:textId="77777777" w:rsidR="007D5B13" w:rsidRPr="00284C98" w:rsidRDefault="007D5B13"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3B55EB57" w14:textId="77777777" w:rsidR="007D5B13" w:rsidRPr="00284C98" w:rsidRDefault="00B7405D"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7D5B13" w:rsidRPr="00284C98">
        <w:rPr>
          <w:rFonts w:ascii="Arial" w:hAnsi="Arial" w:cs="Arial"/>
          <w:sz w:val="24"/>
          <w:szCs w:val="24"/>
          <w:lang w:eastAsia="en-GB"/>
        </w:rPr>
        <w:t>(3) Where C’s ability to carry out an activity is assessed, C is to be assessed as satisfying a descriptor only if C can do so—</w:t>
      </w:r>
    </w:p>
    <w:p w14:paraId="6A323A20" w14:textId="77777777" w:rsidR="007D5B13" w:rsidRPr="00284C98" w:rsidRDefault="007D5B13"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23ECCF71" w14:textId="77777777" w:rsidR="007D5B13" w:rsidRPr="00284C98" w:rsidRDefault="00B7405D"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(a) safely;</w:t>
      </w:r>
    </w:p>
    <w:p w14:paraId="4EDEF884" w14:textId="77777777" w:rsidR="007D5B13" w:rsidRPr="00284C98" w:rsidRDefault="007D5B13"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5AF0D151" w14:textId="77777777" w:rsidR="007D5B13" w:rsidRPr="00284C98" w:rsidRDefault="00B7405D"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(b) to an acceptable standard;</w:t>
      </w:r>
    </w:p>
    <w:p w14:paraId="639B09CF" w14:textId="77777777" w:rsidR="007D5B13" w:rsidRPr="00284C98" w:rsidRDefault="007D5B13"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4DD42DEE" w14:textId="77777777" w:rsidR="007D5B13" w:rsidRPr="00284C98" w:rsidRDefault="00B7405D"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(c) repeatedly; and</w:t>
      </w:r>
    </w:p>
    <w:p w14:paraId="5FF2D43B" w14:textId="77777777" w:rsidR="007D5B13" w:rsidRPr="00284C98" w:rsidRDefault="007D5B13"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01C4D44C" w14:textId="77777777" w:rsidR="007D5B13" w:rsidRPr="00284C98" w:rsidRDefault="00B7405D"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(d) within a reasonable time period.</w:t>
      </w:r>
    </w:p>
    <w:p w14:paraId="77111A8F" w14:textId="77777777" w:rsidR="007D5B13" w:rsidRPr="00284C98" w:rsidRDefault="007D5B13"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6634CD92" w14:textId="77777777" w:rsidR="007D5B13" w:rsidRPr="00284C98" w:rsidRDefault="00B7405D"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7D5B13" w:rsidRPr="00284C98">
        <w:rPr>
          <w:rFonts w:ascii="Arial" w:hAnsi="Arial" w:cs="Arial"/>
          <w:sz w:val="24"/>
          <w:szCs w:val="24"/>
          <w:lang w:eastAsia="en-GB"/>
        </w:rPr>
        <w:t>(4) Where C has been assessed as having severely limited ability to carry out activities, C is not to be treated as also having limited ability in relation to the same activities.</w:t>
      </w:r>
    </w:p>
    <w:p w14:paraId="12BF40EB" w14:textId="77777777" w:rsidR="00E83A01" w:rsidRPr="00284C98" w:rsidRDefault="00E83A01"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4E2A39E8" w14:textId="77777777" w:rsidR="007D5B13" w:rsidRPr="00284C98" w:rsidRDefault="00B7405D"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7D5B13" w:rsidRPr="00284C98">
        <w:rPr>
          <w:rFonts w:ascii="Arial" w:hAnsi="Arial" w:cs="Arial"/>
          <w:sz w:val="24"/>
          <w:szCs w:val="24"/>
          <w:lang w:eastAsia="en-GB"/>
        </w:rPr>
        <w:t>(5) In this regulation—</w:t>
      </w:r>
    </w:p>
    <w:p w14:paraId="44FC5E82" w14:textId="77777777" w:rsidR="007D5B13" w:rsidRPr="00284C98" w:rsidRDefault="007D5B13"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20C28A47" w14:textId="77777777" w:rsidR="007D5B13" w:rsidRPr="00284C98" w:rsidRDefault="00B7405D"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7D5B13" w:rsidRPr="00284C98">
        <w:rPr>
          <w:rFonts w:ascii="Arial" w:hAnsi="Arial" w:cs="Arial"/>
          <w:sz w:val="24"/>
          <w:szCs w:val="24"/>
          <w:lang w:eastAsia="en-GB"/>
        </w:rPr>
        <w:t>“reasonable time period” means no more than twice as long as the maximum period that a person without a physical or mental condition which limits that person’s ability to carry out the activity in question would normally take to complete that activity;</w:t>
      </w:r>
    </w:p>
    <w:p w14:paraId="623F9298" w14:textId="77777777" w:rsidR="007D5B13" w:rsidRPr="00284C98" w:rsidRDefault="007D5B13"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3BE7B207" w14:textId="77777777" w:rsidR="007D5B13" w:rsidRPr="00284C98" w:rsidRDefault="00B7405D"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7D5B13" w:rsidRPr="00284C98">
        <w:rPr>
          <w:rFonts w:ascii="Arial" w:hAnsi="Arial" w:cs="Arial"/>
          <w:sz w:val="24"/>
          <w:szCs w:val="24"/>
          <w:lang w:eastAsia="en-GB"/>
        </w:rPr>
        <w:t>“repeatedly” means as often as the activity being assessed is reasonably required to be completed; and</w:t>
      </w:r>
    </w:p>
    <w:p w14:paraId="42A58418" w14:textId="77777777" w:rsidR="007D5B13" w:rsidRPr="00284C98" w:rsidRDefault="007D5B13"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62C9667B" w14:textId="77777777" w:rsidR="007D5B13" w:rsidRPr="00284C98" w:rsidRDefault="00B7405D" w:rsidP="00B7405D">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7D5B13" w:rsidRPr="00284C98">
        <w:rPr>
          <w:rFonts w:ascii="Arial" w:hAnsi="Arial" w:cs="Arial"/>
          <w:sz w:val="24"/>
          <w:szCs w:val="24"/>
          <w:lang w:eastAsia="en-GB"/>
        </w:rPr>
        <w:t>“safely” means in a manner unlikely to cause harm to C or to another person, either during or after completion of the activity.</w:t>
      </w:r>
    </w:p>
    <w:p w14:paraId="636D6DC0" w14:textId="77777777" w:rsidR="007D5B13" w:rsidRPr="00284C98" w:rsidRDefault="007D5B13" w:rsidP="00B7405D">
      <w:pPr>
        <w:tabs>
          <w:tab w:val="left" w:pos="510"/>
          <w:tab w:val="left" w:pos="1077"/>
          <w:tab w:val="left" w:pos="1797"/>
        </w:tabs>
        <w:spacing w:after="0" w:line="240" w:lineRule="auto"/>
        <w:ind w:left="510" w:hanging="510"/>
        <w:jc w:val="both"/>
        <w:rPr>
          <w:rFonts w:ascii="Arial" w:hAnsi="Arial" w:cs="Arial"/>
          <w:sz w:val="24"/>
          <w:szCs w:val="24"/>
        </w:rPr>
      </w:pPr>
    </w:p>
    <w:p w14:paraId="78183C42" w14:textId="77777777" w:rsidR="007D5B13" w:rsidRPr="00284C98" w:rsidRDefault="00E83A01" w:rsidP="00B7405D">
      <w:pPr>
        <w:tabs>
          <w:tab w:val="left" w:pos="510"/>
          <w:tab w:val="left" w:pos="1077"/>
          <w:tab w:val="left" w:pos="1797"/>
        </w:tabs>
        <w:spacing w:after="0" w:line="240" w:lineRule="auto"/>
        <w:ind w:left="510" w:hanging="510"/>
        <w:jc w:val="both"/>
        <w:rPr>
          <w:rFonts w:ascii="Arial" w:hAnsi="Arial" w:cs="Arial"/>
          <w:sz w:val="24"/>
          <w:szCs w:val="24"/>
        </w:rPr>
      </w:pPr>
      <w:r w:rsidRPr="00284C98">
        <w:rPr>
          <w:rFonts w:ascii="Arial" w:hAnsi="Arial" w:cs="Arial"/>
          <w:sz w:val="24"/>
          <w:szCs w:val="24"/>
        </w:rPr>
        <w:t>16.</w:t>
      </w:r>
      <w:r w:rsidRPr="00284C98">
        <w:rPr>
          <w:rFonts w:ascii="Arial" w:hAnsi="Arial" w:cs="Arial"/>
          <w:sz w:val="24"/>
          <w:szCs w:val="24"/>
        </w:rPr>
        <w:tab/>
      </w:r>
      <w:r w:rsidR="007D5B13" w:rsidRPr="00284C98">
        <w:rPr>
          <w:rFonts w:ascii="Arial" w:hAnsi="Arial" w:cs="Arial"/>
          <w:sz w:val="24"/>
          <w:szCs w:val="24"/>
        </w:rPr>
        <w:t xml:space="preserve">A particular activity that is considered in this decision is activity 9. </w:t>
      </w:r>
      <w:r w:rsidR="0062646E" w:rsidRPr="00284C98">
        <w:rPr>
          <w:rFonts w:ascii="Arial" w:hAnsi="Arial" w:cs="Arial"/>
          <w:sz w:val="24"/>
          <w:szCs w:val="24"/>
        </w:rPr>
        <w:t xml:space="preserve"> </w:t>
      </w:r>
      <w:r w:rsidR="007D5B13" w:rsidRPr="00284C98">
        <w:rPr>
          <w:rFonts w:ascii="Arial" w:hAnsi="Arial" w:cs="Arial"/>
          <w:sz w:val="24"/>
          <w:szCs w:val="24"/>
        </w:rPr>
        <w:t>The relevant activity reads as follows:</w:t>
      </w:r>
    </w:p>
    <w:p w14:paraId="54CCA430" w14:textId="77777777" w:rsidR="007D5B13" w:rsidRPr="00284C98" w:rsidRDefault="007D5B13" w:rsidP="00284C98">
      <w:pPr>
        <w:tabs>
          <w:tab w:val="left" w:pos="510"/>
          <w:tab w:val="left" w:pos="1077"/>
          <w:tab w:val="left" w:pos="1797"/>
        </w:tabs>
        <w:spacing w:after="0" w:line="240" w:lineRule="auto"/>
        <w:rPr>
          <w:rFonts w:ascii="Arial" w:hAnsi="Arial" w:cs="Arial"/>
          <w:sz w:val="24"/>
          <w:szCs w:val="24"/>
        </w:rPr>
      </w:pPr>
    </w:p>
    <w:p w14:paraId="49C3BB26" w14:textId="77777777" w:rsidR="007D5B13" w:rsidRPr="00284C98" w:rsidRDefault="004B1A87" w:rsidP="004B1A87">
      <w:pPr>
        <w:tabs>
          <w:tab w:val="left" w:pos="510"/>
          <w:tab w:val="left" w:pos="2977"/>
          <w:tab w:val="left" w:pos="7371"/>
        </w:tabs>
        <w:spacing w:after="0" w:line="240" w:lineRule="auto"/>
        <w:rPr>
          <w:rFonts w:ascii="Arial" w:hAnsi="Arial" w:cs="Arial"/>
          <w:sz w:val="24"/>
          <w:szCs w:val="24"/>
          <w:lang w:eastAsia="en-GB"/>
        </w:rPr>
      </w:pPr>
      <w:r>
        <w:rPr>
          <w:rFonts w:ascii="Arial" w:hAnsi="Arial" w:cs="Arial"/>
          <w:sz w:val="24"/>
          <w:szCs w:val="24"/>
          <w:lang w:eastAsia="en-GB"/>
        </w:rPr>
        <w:tab/>
      </w:r>
      <w:r w:rsidR="007D5B13" w:rsidRPr="00284C98">
        <w:rPr>
          <w:rFonts w:ascii="Arial" w:hAnsi="Arial" w:cs="Arial"/>
          <w:sz w:val="24"/>
          <w:szCs w:val="24"/>
          <w:lang w:eastAsia="en-GB"/>
        </w:rPr>
        <w:t>9. Engaging with other people</w:t>
      </w:r>
    </w:p>
    <w:p w14:paraId="74EF885A" w14:textId="77777777" w:rsidR="007D5B13" w:rsidRPr="00284C98" w:rsidRDefault="004B1A87" w:rsidP="004B1A87">
      <w:pPr>
        <w:tabs>
          <w:tab w:val="left" w:pos="510"/>
          <w:tab w:val="left" w:pos="2977"/>
          <w:tab w:val="left" w:pos="7371"/>
        </w:tabs>
        <w:spacing w:after="0" w:line="240" w:lineRule="auto"/>
        <w:rPr>
          <w:rFonts w:ascii="Arial" w:hAnsi="Arial" w:cs="Arial"/>
          <w:sz w:val="24"/>
          <w:szCs w:val="24"/>
          <w:lang w:eastAsia="en-GB"/>
        </w:rPr>
      </w:pPr>
      <w:r>
        <w:rPr>
          <w:rFonts w:ascii="Arial" w:hAnsi="Arial" w:cs="Arial"/>
          <w:sz w:val="24"/>
          <w:szCs w:val="24"/>
          <w:lang w:eastAsia="en-GB"/>
        </w:rPr>
        <w:tab/>
      </w:r>
      <w:r w:rsidR="007D5B13" w:rsidRPr="00284C98">
        <w:rPr>
          <w:rFonts w:ascii="Arial" w:hAnsi="Arial" w:cs="Arial"/>
          <w:sz w:val="24"/>
          <w:szCs w:val="24"/>
          <w:lang w:eastAsia="en-GB"/>
        </w:rPr>
        <w:t>face to face.</w:t>
      </w:r>
    </w:p>
    <w:p w14:paraId="244EE5F3" w14:textId="77777777" w:rsidR="007D5B13" w:rsidRPr="00284C98" w:rsidRDefault="004B1A87" w:rsidP="004B1A87">
      <w:pPr>
        <w:tabs>
          <w:tab w:val="left" w:pos="510"/>
          <w:tab w:val="left" w:pos="2977"/>
          <w:tab w:val="left" w:pos="7371"/>
        </w:tabs>
        <w:spacing w:after="0" w:line="240" w:lineRule="auto"/>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a. Can engage with other</w:t>
      </w:r>
    </w:p>
    <w:p w14:paraId="01D85B7F" w14:textId="77777777" w:rsidR="007D5B13" w:rsidRPr="00284C98" w:rsidRDefault="004B1A87" w:rsidP="004B1A87">
      <w:pPr>
        <w:tabs>
          <w:tab w:val="left" w:pos="510"/>
          <w:tab w:val="left" w:pos="2977"/>
          <w:tab w:val="left" w:pos="7371"/>
        </w:tabs>
        <w:spacing w:after="0" w:line="240" w:lineRule="auto"/>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 xml:space="preserve">people </w:t>
      </w:r>
      <w:hyperlink w:anchor="Unaided" w:history="1">
        <w:r w:rsidR="007D5B13" w:rsidRPr="00284C98">
          <w:rPr>
            <w:rStyle w:val="Hyperlink"/>
            <w:rFonts w:ascii="Arial" w:hAnsi="Arial" w:cs="Arial"/>
            <w:color w:val="auto"/>
            <w:sz w:val="24"/>
            <w:szCs w:val="24"/>
            <w:u w:val="none"/>
            <w:lang w:eastAsia="en-GB"/>
          </w:rPr>
          <w:t>unaided</w:t>
        </w:r>
      </w:hyperlink>
      <w:r w:rsidR="007D5B13" w:rsidRPr="00284C98">
        <w:rPr>
          <w:rFonts w:ascii="Arial" w:hAnsi="Arial" w:cs="Arial"/>
          <w:sz w:val="24"/>
          <w:szCs w:val="24"/>
          <w:lang w:eastAsia="en-GB"/>
        </w:rPr>
        <w:t>.</w:t>
      </w:r>
      <w:r w:rsidR="007D5B13" w:rsidRPr="00284C98">
        <w:rPr>
          <w:rFonts w:ascii="Arial" w:hAnsi="Arial" w:cs="Arial"/>
          <w:sz w:val="24"/>
          <w:szCs w:val="24"/>
          <w:lang w:eastAsia="en-GB"/>
        </w:rPr>
        <w:tab/>
        <w:t>0</w:t>
      </w:r>
    </w:p>
    <w:p w14:paraId="643ABDCC" w14:textId="77777777" w:rsidR="007D5B13" w:rsidRPr="00284C98" w:rsidRDefault="007D5B13" w:rsidP="004B1A87">
      <w:pPr>
        <w:tabs>
          <w:tab w:val="left" w:pos="510"/>
          <w:tab w:val="left" w:pos="2977"/>
          <w:tab w:val="left" w:pos="7371"/>
        </w:tabs>
        <w:spacing w:after="0" w:line="240" w:lineRule="auto"/>
        <w:rPr>
          <w:rFonts w:ascii="Arial" w:hAnsi="Arial" w:cs="Arial"/>
          <w:sz w:val="24"/>
          <w:szCs w:val="24"/>
          <w:lang w:eastAsia="en-GB"/>
        </w:rPr>
      </w:pPr>
    </w:p>
    <w:p w14:paraId="3C9030D3" w14:textId="77777777" w:rsidR="007D5B13" w:rsidRPr="00284C98" w:rsidRDefault="004B1A87" w:rsidP="004B1A87">
      <w:pPr>
        <w:tabs>
          <w:tab w:val="left" w:pos="510"/>
          <w:tab w:val="left" w:pos="2977"/>
          <w:tab w:val="left" w:pos="7371"/>
        </w:tabs>
        <w:spacing w:after="0" w:line="240" w:lineRule="auto"/>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 xml:space="preserve">b. Needs </w:t>
      </w:r>
      <w:hyperlink w:anchor="Prompting" w:history="1">
        <w:r w:rsidR="007D5B13" w:rsidRPr="00284C98">
          <w:rPr>
            <w:rStyle w:val="Hyperlink"/>
            <w:rFonts w:ascii="Arial" w:hAnsi="Arial" w:cs="Arial"/>
            <w:color w:val="auto"/>
            <w:sz w:val="24"/>
            <w:szCs w:val="24"/>
            <w:u w:val="none"/>
            <w:lang w:eastAsia="en-GB"/>
          </w:rPr>
          <w:t>prompting</w:t>
        </w:r>
      </w:hyperlink>
      <w:r w:rsidR="007D5B13" w:rsidRPr="00284C98">
        <w:rPr>
          <w:rFonts w:ascii="Arial" w:hAnsi="Arial" w:cs="Arial"/>
          <w:sz w:val="24"/>
          <w:szCs w:val="24"/>
          <w:lang w:eastAsia="en-GB"/>
        </w:rPr>
        <w:t xml:space="preserve"> to be able</w:t>
      </w:r>
    </w:p>
    <w:p w14:paraId="02ADE6D9" w14:textId="77777777" w:rsidR="007D5B13" w:rsidRPr="00284C98" w:rsidRDefault="004B1A87" w:rsidP="004B1A87">
      <w:pPr>
        <w:tabs>
          <w:tab w:val="left" w:pos="510"/>
          <w:tab w:val="left" w:pos="2977"/>
          <w:tab w:val="left" w:pos="7371"/>
        </w:tabs>
        <w:spacing w:after="0" w:line="240" w:lineRule="auto"/>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 xml:space="preserve">to </w:t>
      </w:r>
      <w:hyperlink w:anchor="EngageSocially" w:history="1">
        <w:r w:rsidR="007D5B13" w:rsidRPr="00284C98">
          <w:rPr>
            <w:rStyle w:val="Hyperlink"/>
            <w:rFonts w:ascii="Arial" w:hAnsi="Arial" w:cs="Arial"/>
            <w:color w:val="auto"/>
            <w:sz w:val="24"/>
            <w:szCs w:val="24"/>
            <w:u w:val="none"/>
            <w:lang w:eastAsia="en-GB"/>
          </w:rPr>
          <w:t>engage</w:t>
        </w:r>
      </w:hyperlink>
      <w:r w:rsidR="007D5B13" w:rsidRPr="00284C98">
        <w:rPr>
          <w:rFonts w:ascii="Arial" w:hAnsi="Arial" w:cs="Arial"/>
          <w:sz w:val="24"/>
          <w:szCs w:val="24"/>
          <w:lang w:eastAsia="en-GB"/>
        </w:rPr>
        <w:t xml:space="preserve"> with other people.</w:t>
      </w:r>
      <w:r w:rsidR="007D5B13" w:rsidRPr="00284C98">
        <w:rPr>
          <w:rFonts w:ascii="Arial" w:hAnsi="Arial" w:cs="Arial"/>
          <w:sz w:val="24"/>
          <w:szCs w:val="24"/>
          <w:lang w:eastAsia="en-GB"/>
        </w:rPr>
        <w:tab/>
        <w:t>2</w:t>
      </w:r>
    </w:p>
    <w:p w14:paraId="647DBE4A" w14:textId="77777777" w:rsidR="007D5B13" w:rsidRPr="00284C98" w:rsidRDefault="007D5B13" w:rsidP="004B1A87">
      <w:pPr>
        <w:tabs>
          <w:tab w:val="left" w:pos="510"/>
          <w:tab w:val="left" w:pos="2977"/>
          <w:tab w:val="left" w:pos="7371"/>
        </w:tabs>
        <w:spacing w:after="0" w:line="240" w:lineRule="auto"/>
        <w:rPr>
          <w:rFonts w:ascii="Arial" w:hAnsi="Arial" w:cs="Arial"/>
          <w:sz w:val="24"/>
          <w:szCs w:val="24"/>
          <w:lang w:eastAsia="en-GB"/>
        </w:rPr>
      </w:pPr>
    </w:p>
    <w:p w14:paraId="46FA0436" w14:textId="77777777" w:rsidR="007D5B13" w:rsidRPr="00284C98" w:rsidRDefault="004B1A87" w:rsidP="004B1A87">
      <w:pPr>
        <w:tabs>
          <w:tab w:val="left" w:pos="510"/>
          <w:tab w:val="left" w:pos="2977"/>
          <w:tab w:val="left" w:pos="7371"/>
        </w:tabs>
        <w:spacing w:after="0" w:line="240" w:lineRule="auto"/>
        <w:rPr>
          <w:rFonts w:ascii="Arial" w:hAnsi="Arial" w:cs="Arial"/>
          <w:sz w:val="24"/>
          <w:szCs w:val="24"/>
          <w:lang w:eastAsia="en-GB"/>
        </w:rPr>
      </w:pPr>
      <w:r>
        <w:rPr>
          <w:rFonts w:ascii="Arial" w:hAnsi="Arial" w:cs="Arial"/>
          <w:sz w:val="24"/>
          <w:szCs w:val="24"/>
          <w:lang w:eastAsia="en-GB"/>
        </w:rPr>
        <w:lastRenderedPageBreak/>
        <w:tab/>
      </w:r>
      <w:r>
        <w:rPr>
          <w:rFonts w:ascii="Arial" w:hAnsi="Arial" w:cs="Arial"/>
          <w:sz w:val="24"/>
          <w:szCs w:val="24"/>
          <w:lang w:eastAsia="en-GB"/>
        </w:rPr>
        <w:tab/>
      </w:r>
      <w:r w:rsidR="007D5B13" w:rsidRPr="00284C98">
        <w:rPr>
          <w:rFonts w:ascii="Arial" w:hAnsi="Arial" w:cs="Arial"/>
          <w:sz w:val="24"/>
          <w:szCs w:val="24"/>
          <w:lang w:eastAsia="en-GB"/>
        </w:rPr>
        <w:t xml:space="preserve">c. Needs </w:t>
      </w:r>
      <w:hyperlink w:anchor="SocialSupport" w:history="1">
        <w:r w:rsidR="007D5B13" w:rsidRPr="00284C98">
          <w:rPr>
            <w:rStyle w:val="Hyperlink"/>
            <w:rFonts w:ascii="Arial" w:hAnsi="Arial" w:cs="Arial"/>
            <w:color w:val="auto"/>
            <w:sz w:val="24"/>
            <w:szCs w:val="24"/>
            <w:u w:val="none"/>
            <w:lang w:eastAsia="en-GB"/>
          </w:rPr>
          <w:t>social support</w:t>
        </w:r>
      </w:hyperlink>
      <w:r w:rsidR="007D5B13" w:rsidRPr="00284C98">
        <w:rPr>
          <w:rFonts w:ascii="Arial" w:hAnsi="Arial" w:cs="Arial"/>
          <w:sz w:val="24"/>
          <w:szCs w:val="24"/>
          <w:lang w:eastAsia="en-GB"/>
        </w:rPr>
        <w:t xml:space="preserve"> to be</w:t>
      </w:r>
    </w:p>
    <w:p w14:paraId="0080689B" w14:textId="77777777" w:rsidR="007D5B13" w:rsidRPr="00284C98" w:rsidRDefault="004B1A87" w:rsidP="004B1A87">
      <w:pPr>
        <w:tabs>
          <w:tab w:val="left" w:pos="510"/>
          <w:tab w:val="left" w:pos="2977"/>
          <w:tab w:val="left" w:pos="7371"/>
        </w:tabs>
        <w:spacing w:after="0" w:line="240" w:lineRule="auto"/>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 xml:space="preserve">able to </w:t>
      </w:r>
      <w:hyperlink w:anchor="EngageSocially" w:history="1">
        <w:r w:rsidR="007D5B13" w:rsidRPr="00284C98">
          <w:rPr>
            <w:rStyle w:val="Hyperlink"/>
            <w:rFonts w:ascii="Arial" w:hAnsi="Arial" w:cs="Arial"/>
            <w:color w:val="auto"/>
            <w:sz w:val="24"/>
            <w:szCs w:val="24"/>
            <w:u w:val="none"/>
            <w:lang w:eastAsia="en-GB"/>
          </w:rPr>
          <w:t>engage</w:t>
        </w:r>
      </w:hyperlink>
      <w:r w:rsidR="007D5B13" w:rsidRPr="00284C98">
        <w:rPr>
          <w:rFonts w:ascii="Arial" w:hAnsi="Arial" w:cs="Arial"/>
          <w:sz w:val="24"/>
          <w:szCs w:val="24"/>
          <w:lang w:eastAsia="en-GB"/>
        </w:rPr>
        <w:t xml:space="preserve"> with other</w:t>
      </w:r>
    </w:p>
    <w:p w14:paraId="5939C5BE" w14:textId="77777777" w:rsidR="007D5B13" w:rsidRPr="00284C98" w:rsidRDefault="004B1A87" w:rsidP="004B1A87">
      <w:pPr>
        <w:tabs>
          <w:tab w:val="left" w:pos="510"/>
          <w:tab w:val="left" w:pos="2977"/>
          <w:tab w:val="left" w:pos="7371"/>
        </w:tabs>
        <w:spacing w:after="0" w:line="240" w:lineRule="auto"/>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people.</w:t>
      </w:r>
      <w:r w:rsidR="007D5B13" w:rsidRPr="00284C98">
        <w:rPr>
          <w:rFonts w:ascii="Arial" w:hAnsi="Arial" w:cs="Arial"/>
          <w:sz w:val="24"/>
          <w:szCs w:val="24"/>
          <w:lang w:eastAsia="en-GB"/>
        </w:rPr>
        <w:tab/>
        <w:t>4</w:t>
      </w:r>
    </w:p>
    <w:p w14:paraId="1863F626" w14:textId="77777777" w:rsidR="007D5B13" w:rsidRPr="00284C98" w:rsidRDefault="007D5B13" w:rsidP="004B1A87">
      <w:pPr>
        <w:tabs>
          <w:tab w:val="left" w:pos="510"/>
          <w:tab w:val="left" w:pos="2977"/>
          <w:tab w:val="left" w:pos="7371"/>
        </w:tabs>
        <w:spacing w:after="0" w:line="240" w:lineRule="auto"/>
        <w:rPr>
          <w:rFonts w:ascii="Arial" w:hAnsi="Arial" w:cs="Arial"/>
          <w:sz w:val="24"/>
          <w:szCs w:val="24"/>
          <w:lang w:eastAsia="en-GB"/>
        </w:rPr>
      </w:pPr>
    </w:p>
    <w:p w14:paraId="4DE6D2DD" w14:textId="77777777" w:rsidR="007D5B13" w:rsidRPr="00284C98" w:rsidRDefault="004B1A87" w:rsidP="004B1A87">
      <w:pPr>
        <w:tabs>
          <w:tab w:val="left" w:pos="510"/>
          <w:tab w:val="left" w:pos="2977"/>
          <w:tab w:val="left" w:pos="7371"/>
        </w:tabs>
        <w:spacing w:after="0" w:line="240" w:lineRule="auto"/>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 xml:space="preserve">d. Cannot </w:t>
      </w:r>
      <w:hyperlink w:anchor="EngageSocially" w:history="1">
        <w:r w:rsidR="007D5B13" w:rsidRPr="00284C98">
          <w:rPr>
            <w:rStyle w:val="Hyperlink"/>
            <w:rFonts w:ascii="Arial" w:hAnsi="Arial" w:cs="Arial"/>
            <w:color w:val="auto"/>
            <w:sz w:val="24"/>
            <w:szCs w:val="24"/>
            <w:u w:val="none"/>
            <w:lang w:eastAsia="en-GB"/>
          </w:rPr>
          <w:t>engage</w:t>
        </w:r>
      </w:hyperlink>
      <w:r w:rsidR="007D5B13" w:rsidRPr="00284C98">
        <w:rPr>
          <w:rFonts w:ascii="Arial" w:hAnsi="Arial" w:cs="Arial"/>
          <w:sz w:val="24"/>
          <w:szCs w:val="24"/>
          <w:lang w:eastAsia="en-GB"/>
        </w:rPr>
        <w:t xml:space="preserve"> with other</w:t>
      </w:r>
    </w:p>
    <w:p w14:paraId="2B3457EE" w14:textId="77777777" w:rsidR="007D5B13" w:rsidRPr="00284C98" w:rsidRDefault="004B1A87" w:rsidP="004B1A87">
      <w:pPr>
        <w:tabs>
          <w:tab w:val="left" w:pos="510"/>
          <w:tab w:val="left" w:pos="2977"/>
          <w:tab w:val="left" w:pos="7371"/>
        </w:tabs>
        <w:spacing w:after="0" w:line="240" w:lineRule="auto"/>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people due to such</w:t>
      </w:r>
    </w:p>
    <w:p w14:paraId="121E11AB" w14:textId="77777777" w:rsidR="007D5B13" w:rsidRPr="00284C98" w:rsidRDefault="004B1A87" w:rsidP="004B1A87">
      <w:pPr>
        <w:tabs>
          <w:tab w:val="left" w:pos="510"/>
          <w:tab w:val="left" w:pos="2977"/>
          <w:tab w:val="left" w:pos="7371"/>
        </w:tabs>
        <w:spacing w:after="0" w:line="240" w:lineRule="auto"/>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engagement causing either –</w:t>
      </w:r>
      <w:r w:rsidR="007D5B13" w:rsidRPr="00284C98">
        <w:rPr>
          <w:rFonts w:ascii="Arial" w:hAnsi="Arial" w:cs="Arial"/>
          <w:sz w:val="24"/>
          <w:szCs w:val="24"/>
          <w:lang w:eastAsia="en-GB"/>
        </w:rPr>
        <w:tab/>
        <w:t>8</w:t>
      </w:r>
    </w:p>
    <w:p w14:paraId="2698762F" w14:textId="77777777" w:rsidR="00E83A01" w:rsidRPr="00284C98" w:rsidRDefault="00E83A01" w:rsidP="004B1A87">
      <w:pPr>
        <w:tabs>
          <w:tab w:val="left" w:pos="510"/>
          <w:tab w:val="left" w:pos="2977"/>
          <w:tab w:val="left" w:pos="7371"/>
        </w:tabs>
        <w:spacing w:after="0" w:line="240" w:lineRule="auto"/>
        <w:rPr>
          <w:rFonts w:ascii="Arial" w:hAnsi="Arial" w:cs="Arial"/>
          <w:sz w:val="24"/>
          <w:szCs w:val="24"/>
          <w:lang w:eastAsia="en-GB"/>
        </w:rPr>
      </w:pPr>
    </w:p>
    <w:p w14:paraId="41FAB13B" w14:textId="77777777" w:rsidR="007D5B13" w:rsidRPr="00284C98" w:rsidRDefault="004B1A87" w:rsidP="004B1A87">
      <w:pPr>
        <w:tabs>
          <w:tab w:val="left" w:pos="510"/>
          <w:tab w:val="left" w:pos="2977"/>
          <w:tab w:val="left" w:pos="3402"/>
          <w:tab w:val="left" w:pos="7371"/>
        </w:tabs>
        <w:spacing w:after="0" w:line="240" w:lineRule="auto"/>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w:t>
      </w:r>
      <w:proofErr w:type="spellStart"/>
      <w:r w:rsidR="007D5B13" w:rsidRPr="00284C98">
        <w:rPr>
          <w:rFonts w:ascii="Arial" w:hAnsi="Arial" w:cs="Arial"/>
          <w:sz w:val="24"/>
          <w:szCs w:val="24"/>
          <w:lang w:eastAsia="en-GB"/>
        </w:rPr>
        <w:t>i</w:t>
      </w:r>
      <w:proofErr w:type="spellEnd"/>
      <w:r w:rsidR="007D5B13" w:rsidRPr="00284C98">
        <w:rPr>
          <w:rFonts w:ascii="Arial" w:hAnsi="Arial" w:cs="Arial"/>
          <w:sz w:val="24"/>
          <w:szCs w:val="24"/>
          <w:lang w:eastAsia="en-GB"/>
        </w:rPr>
        <w:t>) overwhelming</w:t>
      </w:r>
    </w:p>
    <w:p w14:paraId="496DFB33" w14:textId="77777777" w:rsidR="007D5B13" w:rsidRPr="00284C98" w:rsidRDefault="004B1A87" w:rsidP="004B1A87">
      <w:pPr>
        <w:tabs>
          <w:tab w:val="left" w:pos="510"/>
          <w:tab w:val="left" w:pos="2977"/>
          <w:tab w:val="left" w:pos="3402"/>
          <w:tab w:val="left" w:pos="7371"/>
        </w:tabs>
        <w:spacing w:after="0" w:line="240" w:lineRule="auto"/>
        <w:rPr>
          <w:rFonts w:ascii="Arial" w:hAnsi="Arial" w:cs="Arial"/>
          <w:sz w:val="24"/>
          <w:szCs w:val="24"/>
          <w:lang w:eastAsia="en-GB"/>
        </w:rPr>
      </w:pPr>
      <w:r>
        <w:rPr>
          <w:rStyle w:val="Hyperlink"/>
          <w:rFonts w:ascii="Arial" w:hAnsi="Arial" w:cs="Arial"/>
          <w:color w:val="auto"/>
          <w:sz w:val="24"/>
          <w:szCs w:val="24"/>
          <w:u w:val="none"/>
          <w:lang w:eastAsia="en-GB"/>
        </w:rPr>
        <w:tab/>
      </w:r>
      <w:r>
        <w:rPr>
          <w:rStyle w:val="Hyperlink"/>
          <w:rFonts w:ascii="Arial" w:hAnsi="Arial" w:cs="Arial"/>
          <w:color w:val="auto"/>
          <w:sz w:val="24"/>
          <w:szCs w:val="24"/>
          <w:u w:val="none"/>
          <w:lang w:eastAsia="en-GB"/>
        </w:rPr>
        <w:tab/>
      </w:r>
      <w:r>
        <w:rPr>
          <w:rStyle w:val="Hyperlink"/>
          <w:rFonts w:ascii="Arial" w:hAnsi="Arial" w:cs="Arial"/>
          <w:color w:val="auto"/>
          <w:sz w:val="24"/>
          <w:szCs w:val="24"/>
          <w:u w:val="none"/>
          <w:lang w:eastAsia="en-GB"/>
        </w:rPr>
        <w:tab/>
      </w:r>
      <w:hyperlink w:anchor="PsychologicalDistress" w:history="1">
        <w:r w:rsidR="007D5B13" w:rsidRPr="00284C98">
          <w:rPr>
            <w:rStyle w:val="Hyperlink"/>
            <w:rFonts w:ascii="Arial" w:hAnsi="Arial" w:cs="Arial"/>
            <w:color w:val="auto"/>
            <w:sz w:val="24"/>
            <w:szCs w:val="24"/>
            <w:u w:val="none"/>
            <w:lang w:eastAsia="en-GB"/>
          </w:rPr>
          <w:t>psychological distress</w:t>
        </w:r>
      </w:hyperlink>
      <w:r w:rsidR="007D5B13" w:rsidRPr="00284C98">
        <w:rPr>
          <w:rFonts w:ascii="Arial" w:hAnsi="Arial" w:cs="Arial"/>
          <w:sz w:val="24"/>
          <w:szCs w:val="24"/>
          <w:lang w:eastAsia="en-GB"/>
        </w:rPr>
        <w:t xml:space="preserve"> to the</w:t>
      </w:r>
    </w:p>
    <w:p w14:paraId="1B4ABA68" w14:textId="77777777" w:rsidR="007D5B13" w:rsidRPr="00284C98" w:rsidRDefault="004B1A87" w:rsidP="004B1A87">
      <w:pPr>
        <w:tabs>
          <w:tab w:val="left" w:pos="510"/>
          <w:tab w:val="left" w:pos="2977"/>
          <w:tab w:val="left" w:pos="3402"/>
          <w:tab w:val="left" w:pos="7371"/>
        </w:tabs>
        <w:spacing w:after="0" w:line="240" w:lineRule="auto"/>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claimant, or</w:t>
      </w:r>
    </w:p>
    <w:p w14:paraId="1CDDEA52" w14:textId="77777777" w:rsidR="007D5B13" w:rsidRPr="00284C98" w:rsidRDefault="007D5B13" w:rsidP="004B1A87">
      <w:pPr>
        <w:tabs>
          <w:tab w:val="left" w:pos="510"/>
          <w:tab w:val="left" w:pos="2977"/>
          <w:tab w:val="left" w:pos="3402"/>
          <w:tab w:val="left" w:pos="7371"/>
        </w:tabs>
        <w:spacing w:after="0" w:line="240" w:lineRule="auto"/>
        <w:rPr>
          <w:rFonts w:ascii="Arial" w:hAnsi="Arial" w:cs="Arial"/>
          <w:sz w:val="24"/>
          <w:szCs w:val="24"/>
          <w:lang w:eastAsia="en-GB"/>
        </w:rPr>
      </w:pPr>
    </w:p>
    <w:p w14:paraId="08730AA8" w14:textId="77777777" w:rsidR="007D5B13" w:rsidRPr="00284C98" w:rsidRDefault="004B1A87" w:rsidP="004B1A87">
      <w:pPr>
        <w:tabs>
          <w:tab w:val="left" w:pos="510"/>
          <w:tab w:val="left" w:pos="2977"/>
          <w:tab w:val="left" w:pos="3402"/>
          <w:tab w:val="left" w:pos="7371"/>
        </w:tabs>
        <w:spacing w:after="0" w:line="240" w:lineRule="auto"/>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(ii) the claimant to exhibit</w:t>
      </w:r>
    </w:p>
    <w:p w14:paraId="406C91B8" w14:textId="77777777" w:rsidR="007D5B13" w:rsidRPr="00284C98" w:rsidRDefault="004B1A87" w:rsidP="004B1A87">
      <w:pPr>
        <w:tabs>
          <w:tab w:val="left" w:pos="510"/>
          <w:tab w:val="left" w:pos="2977"/>
          <w:tab w:val="left" w:pos="3402"/>
          <w:tab w:val="left" w:pos="7371"/>
        </w:tabs>
        <w:spacing w:after="0" w:line="240" w:lineRule="auto"/>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behaviour which would result</w:t>
      </w:r>
    </w:p>
    <w:p w14:paraId="201F0CA6" w14:textId="77777777" w:rsidR="007D5B13" w:rsidRPr="00284C98" w:rsidRDefault="004B1A87" w:rsidP="004B1A87">
      <w:pPr>
        <w:tabs>
          <w:tab w:val="left" w:pos="510"/>
          <w:tab w:val="left" w:pos="2977"/>
          <w:tab w:val="left" w:pos="3402"/>
          <w:tab w:val="left" w:pos="7371"/>
        </w:tabs>
        <w:spacing w:after="0" w:line="240" w:lineRule="auto"/>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in a substantial risk of harm to</w:t>
      </w:r>
    </w:p>
    <w:p w14:paraId="6234F6BF" w14:textId="77777777" w:rsidR="007D5B13" w:rsidRPr="00B94389" w:rsidRDefault="004B1A87" w:rsidP="004B1A87">
      <w:pPr>
        <w:tabs>
          <w:tab w:val="left" w:pos="510"/>
          <w:tab w:val="left" w:pos="2977"/>
          <w:tab w:val="left" w:pos="3402"/>
          <w:tab w:val="left" w:pos="7371"/>
        </w:tabs>
        <w:spacing w:after="0" w:line="240" w:lineRule="auto"/>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7D5B13" w:rsidRPr="00284C98">
        <w:rPr>
          <w:rFonts w:ascii="Arial" w:hAnsi="Arial" w:cs="Arial"/>
          <w:sz w:val="24"/>
          <w:szCs w:val="24"/>
          <w:lang w:eastAsia="en-GB"/>
        </w:rPr>
        <w:t>the claimant or an</w:t>
      </w:r>
      <w:r w:rsidR="007D5B13" w:rsidRPr="00B94389">
        <w:rPr>
          <w:rFonts w:ascii="Arial" w:hAnsi="Arial" w:cs="Arial"/>
          <w:sz w:val="24"/>
          <w:szCs w:val="24"/>
          <w:lang w:eastAsia="en-GB"/>
        </w:rPr>
        <w:t>other person.</w:t>
      </w:r>
    </w:p>
    <w:p w14:paraId="24EAF14E" w14:textId="77777777" w:rsidR="007D5B13" w:rsidRPr="00B94389" w:rsidRDefault="007D5B13" w:rsidP="00B94389">
      <w:pPr>
        <w:tabs>
          <w:tab w:val="left" w:pos="510"/>
          <w:tab w:val="left" w:pos="1077"/>
          <w:tab w:val="left" w:pos="1797"/>
        </w:tabs>
        <w:spacing w:after="0" w:line="240" w:lineRule="auto"/>
        <w:rPr>
          <w:rFonts w:ascii="Arial" w:hAnsi="Arial" w:cs="Arial"/>
          <w:sz w:val="24"/>
          <w:szCs w:val="24"/>
        </w:rPr>
      </w:pPr>
    </w:p>
    <w:p w14:paraId="6437F0BC" w14:textId="77777777" w:rsidR="007D5B13" w:rsidRPr="00B94389" w:rsidRDefault="0062646E" w:rsidP="00B94389">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7D5B13" w:rsidRPr="00B94389">
        <w:rPr>
          <w:rFonts w:ascii="Arial" w:hAnsi="Arial" w:cs="Arial"/>
          <w:b/>
          <w:sz w:val="24"/>
          <w:szCs w:val="24"/>
        </w:rPr>
        <w:t>Assessment</w:t>
      </w:r>
    </w:p>
    <w:p w14:paraId="511B4D5D" w14:textId="77777777" w:rsidR="007D5B13" w:rsidRPr="00B94389" w:rsidRDefault="007D5B13" w:rsidP="00B94389">
      <w:pPr>
        <w:tabs>
          <w:tab w:val="left" w:pos="510"/>
          <w:tab w:val="left" w:pos="1077"/>
          <w:tab w:val="left" w:pos="1797"/>
        </w:tabs>
        <w:spacing w:after="0" w:line="240" w:lineRule="auto"/>
        <w:rPr>
          <w:rFonts w:ascii="Arial" w:hAnsi="Arial" w:cs="Arial"/>
          <w:sz w:val="24"/>
          <w:szCs w:val="24"/>
        </w:rPr>
      </w:pPr>
    </w:p>
    <w:p w14:paraId="1F73C64C" w14:textId="77777777" w:rsidR="007D5B13" w:rsidRPr="00B94389" w:rsidRDefault="00E83A01" w:rsidP="0062646E">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17.</w:t>
      </w:r>
      <w:r w:rsidRPr="00B94389">
        <w:rPr>
          <w:rFonts w:ascii="Arial" w:hAnsi="Arial" w:cs="Arial"/>
          <w:sz w:val="24"/>
          <w:szCs w:val="24"/>
        </w:rPr>
        <w:tab/>
      </w:r>
      <w:r w:rsidR="007D5B13" w:rsidRPr="00B94389">
        <w:rPr>
          <w:rFonts w:ascii="Arial" w:hAnsi="Arial" w:cs="Arial"/>
          <w:sz w:val="24"/>
          <w:szCs w:val="24"/>
        </w:rPr>
        <w:t xml:space="preserve">An appeal lies to a Commissioner from any decision of an appeal tribunal on the ground that the decision of the tribunal was erroneous in point of law. </w:t>
      </w:r>
      <w:r w:rsidR="0062646E">
        <w:rPr>
          <w:rFonts w:ascii="Arial" w:hAnsi="Arial" w:cs="Arial"/>
          <w:sz w:val="24"/>
          <w:szCs w:val="24"/>
        </w:rPr>
        <w:t xml:space="preserve"> </w:t>
      </w:r>
      <w:r w:rsidR="007D5B13" w:rsidRPr="00B94389">
        <w:rPr>
          <w:rFonts w:ascii="Arial" w:hAnsi="Arial" w:cs="Arial"/>
          <w:sz w:val="24"/>
          <w:szCs w:val="24"/>
        </w:rPr>
        <w:t>However, the party who wishes to bring an appeal mus</w:t>
      </w:r>
      <w:r w:rsidR="0062646E">
        <w:rPr>
          <w:rFonts w:ascii="Arial" w:hAnsi="Arial" w:cs="Arial"/>
          <w:sz w:val="24"/>
          <w:szCs w:val="24"/>
        </w:rPr>
        <w:t>t first obtain leave to appeal.</w:t>
      </w:r>
    </w:p>
    <w:p w14:paraId="378B1F76"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sz w:val="24"/>
          <w:szCs w:val="24"/>
        </w:rPr>
      </w:pPr>
    </w:p>
    <w:p w14:paraId="6F42C124" w14:textId="77777777" w:rsidR="007D5B13" w:rsidRPr="00B94389" w:rsidRDefault="00E83A01" w:rsidP="0062646E">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18.</w:t>
      </w:r>
      <w:r w:rsidRPr="00B94389">
        <w:rPr>
          <w:rFonts w:ascii="Arial" w:hAnsi="Arial" w:cs="Arial"/>
          <w:sz w:val="24"/>
          <w:szCs w:val="24"/>
        </w:rPr>
        <w:tab/>
      </w:r>
      <w:r w:rsidR="007D5B13" w:rsidRPr="00B94389">
        <w:rPr>
          <w:rFonts w:ascii="Arial" w:hAnsi="Arial" w:cs="Arial"/>
          <w:sz w:val="24"/>
          <w:szCs w:val="24"/>
        </w:rPr>
        <w:t>Leave to appeal is a filter mechanism.</w:t>
      </w:r>
      <w:r w:rsidR="0062646E">
        <w:rPr>
          <w:rFonts w:ascii="Arial" w:hAnsi="Arial" w:cs="Arial"/>
          <w:sz w:val="24"/>
          <w:szCs w:val="24"/>
        </w:rPr>
        <w:t xml:space="preserve"> </w:t>
      </w:r>
      <w:r w:rsidR="007D5B13" w:rsidRPr="00B94389">
        <w:rPr>
          <w:rFonts w:ascii="Arial" w:hAnsi="Arial" w:cs="Arial"/>
          <w:sz w:val="24"/>
          <w:szCs w:val="24"/>
        </w:rPr>
        <w:t xml:space="preserve"> It ensures that only appellants who establish an arguable case that the appeal tribunal has erred in law </w:t>
      </w:r>
      <w:r w:rsidR="0062646E">
        <w:rPr>
          <w:rFonts w:ascii="Arial" w:hAnsi="Arial" w:cs="Arial"/>
          <w:sz w:val="24"/>
          <w:szCs w:val="24"/>
        </w:rPr>
        <w:t>can appeal to the Commissioner.</w:t>
      </w:r>
    </w:p>
    <w:p w14:paraId="6EF862A8"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sz w:val="24"/>
          <w:szCs w:val="24"/>
        </w:rPr>
      </w:pPr>
    </w:p>
    <w:p w14:paraId="49EDCC7A" w14:textId="77777777" w:rsidR="007D5B13" w:rsidRPr="00B94389" w:rsidRDefault="00E83A01" w:rsidP="0062646E">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19.</w:t>
      </w:r>
      <w:r w:rsidRPr="00B94389">
        <w:rPr>
          <w:rFonts w:ascii="Arial" w:hAnsi="Arial" w:cs="Arial"/>
          <w:sz w:val="24"/>
          <w:szCs w:val="24"/>
        </w:rPr>
        <w:tab/>
      </w:r>
      <w:r w:rsidR="007D5B13" w:rsidRPr="00B94389">
        <w:rPr>
          <w:rFonts w:ascii="Arial" w:hAnsi="Arial" w:cs="Arial"/>
          <w:sz w:val="24"/>
          <w:szCs w:val="24"/>
        </w:rPr>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reasonable appeal tribunal could r</w:t>
      </w:r>
      <w:r w:rsidR="0062646E">
        <w:rPr>
          <w:rFonts w:ascii="Arial" w:hAnsi="Arial" w:cs="Arial"/>
          <w:sz w:val="24"/>
          <w:szCs w:val="24"/>
        </w:rPr>
        <w:t>each.</w:t>
      </w:r>
    </w:p>
    <w:p w14:paraId="42CA517E"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b/>
          <w:sz w:val="24"/>
          <w:szCs w:val="24"/>
        </w:rPr>
      </w:pPr>
    </w:p>
    <w:p w14:paraId="66A51B33" w14:textId="77777777" w:rsidR="007D5B13" w:rsidRPr="00B94389" w:rsidRDefault="00E83A01" w:rsidP="0062646E">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20.</w:t>
      </w:r>
      <w:r w:rsidRPr="00B94389">
        <w:rPr>
          <w:rFonts w:ascii="Arial" w:hAnsi="Arial" w:cs="Arial"/>
          <w:sz w:val="24"/>
          <w:szCs w:val="24"/>
        </w:rPr>
        <w:tab/>
      </w:r>
      <w:r w:rsidR="007D5B13" w:rsidRPr="00B94389">
        <w:rPr>
          <w:rFonts w:ascii="Arial" w:hAnsi="Arial" w:cs="Arial"/>
          <w:sz w:val="24"/>
          <w:szCs w:val="24"/>
        </w:rPr>
        <w:t xml:space="preserve">Whereas the appellant makes generalised submissions to the effect that the proceedings were unfair, Ms Patterson for the Department submitted that the tribunal had materially erred in law on grounds relating to its interpretation of the activity of “Engaging with other people face to face”. </w:t>
      </w:r>
      <w:r w:rsidR="0062646E">
        <w:rPr>
          <w:rFonts w:ascii="Arial" w:hAnsi="Arial" w:cs="Arial"/>
          <w:sz w:val="24"/>
          <w:szCs w:val="24"/>
        </w:rPr>
        <w:t xml:space="preserve"> </w:t>
      </w:r>
      <w:r w:rsidR="007D5B13" w:rsidRPr="00B94389">
        <w:rPr>
          <w:rFonts w:ascii="Arial" w:hAnsi="Arial" w:cs="Arial"/>
          <w:sz w:val="24"/>
          <w:szCs w:val="24"/>
        </w:rPr>
        <w:t>In light of the Department’s support for the applic</w:t>
      </w:r>
      <w:r w:rsidR="0062646E">
        <w:rPr>
          <w:rFonts w:ascii="Arial" w:hAnsi="Arial" w:cs="Arial"/>
          <w:sz w:val="24"/>
          <w:szCs w:val="24"/>
        </w:rPr>
        <w:t>ation, I grant leave to appeal.</w:t>
      </w:r>
    </w:p>
    <w:p w14:paraId="671157DB"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b/>
          <w:sz w:val="24"/>
          <w:szCs w:val="24"/>
        </w:rPr>
      </w:pPr>
    </w:p>
    <w:p w14:paraId="1F644EB8" w14:textId="77777777" w:rsidR="007D5B13" w:rsidRPr="00B94389" w:rsidRDefault="00E83A01" w:rsidP="0062646E">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21.</w:t>
      </w:r>
      <w:r w:rsidRPr="00B94389">
        <w:rPr>
          <w:rFonts w:ascii="Arial" w:hAnsi="Arial" w:cs="Arial"/>
          <w:sz w:val="24"/>
          <w:szCs w:val="24"/>
        </w:rPr>
        <w:tab/>
      </w:r>
      <w:r w:rsidR="007D5B13" w:rsidRPr="00B94389">
        <w:rPr>
          <w:rFonts w:ascii="Arial" w:hAnsi="Arial" w:cs="Arial"/>
          <w:sz w:val="24"/>
          <w:szCs w:val="24"/>
        </w:rPr>
        <w:t xml:space="preserve">Ms Patterson did not accept that the tribunal had conducted an unfair hearing and submitted that it had conducted the proceedings with fairness and sensitivity to the appellant’s medical conditions. </w:t>
      </w:r>
      <w:r w:rsidR="0062646E">
        <w:rPr>
          <w:rFonts w:ascii="Arial" w:hAnsi="Arial" w:cs="Arial"/>
          <w:sz w:val="24"/>
          <w:szCs w:val="24"/>
        </w:rPr>
        <w:t xml:space="preserve"> </w:t>
      </w:r>
      <w:r w:rsidR="007D5B13" w:rsidRPr="00B94389">
        <w:rPr>
          <w:rFonts w:ascii="Arial" w:hAnsi="Arial" w:cs="Arial"/>
          <w:sz w:val="24"/>
          <w:szCs w:val="24"/>
        </w:rPr>
        <w:t xml:space="preserve">Where she submitted that it may have erred in law was in its interpretation of the expression “social support” in activity 9. </w:t>
      </w:r>
      <w:r w:rsidR="0062646E">
        <w:rPr>
          <w:rFonts w:ascii="Arial" w:hAnsi="Arial" w:cs="Arial"/>
          <w:sz w:val="24"/>
          <w:szCs w:val="24"/>
        </w:rPr>
        <w:t xml:space="preserve"> </w:t>
      </w:r>
      <w:r w:rsidR="007D5B13" w:rsidRPr="00B94389">
        <w:rPr>
          <w:rFonts w:ascii="Arial" w:hAnsi="Arial" w:cs="Arial"/>
          <w:sz w:val="24"/>
          <w:szCs w:val="24"/>
        </w:rPr>
        <w:t xml:space="preserve">She observed that the UK Supreme Court in </w:t>
      </w:r>
      <w:r w:rsidR="007D5B13" w:rsidRPr="00B94389">
        <w:rPr>
          <w:rFonts w:ascii="Arial" w:hAnsi="Arial" w:cs="Arial"/>
          <w:i/>
          <w:sz w:val="24"/>
          <w:szCs w:val="24"/>
        </w:rPr>
        <w:t>Secretary of State for Work and Pensions v MM</w:t>
      </w:r>
      <w:r w:rsidR="007D5B13" w:rsidRPr="00B94389">
        <w:rPr>
          <w:rFonts w:ascii="Arial" w:hAnsi="Arial" w:cs="Arial"/>
          <w:sz w:val="24"/>
          <w:szCs w:val="24"/>
        </w:rPr>
        <w:t xml:space="preserve"> [2016] UKSC 34 had addressed the question of whether social support, which was defined in the PIP Regulations as ‘support from a person trained or experienced in assisting people to engage in social situations’, can be given by someone </w:t>
      </w:r>
      <w:r w:rsidR="007D5B13" w:rsidRPr="00B94389">
        <w:rPr>
          <w:rFonts w:ascii="Arial" w:hAnsi="Arial" w:cs="Arial"/>
          <w:sz w:val="24"/>
          <w:szCs w:val="24"/>
        </w:rPr>
        <w:lastRenderedPageBreak/>
        <w:t>close to the claimant as opposed to a trained professional and whether the person needed to be present at the time of the social engagement.</w:t>
      </w:r>
    </w:p>
    <w:p w14:paraId="662C9A5F"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sz w:val="24"/>
          <w:szCs w:val="24"/>
        </w:rPr>
      </w:pPr>
    </w:p>
    <w:p w14:paraId="582B0AD2" w14:textId="77777777" w:rsidR="007D5B13" w:rsidRPr="00B94389" w:rsidRDefault="00E83A01" w:rsidP="0062646E">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22.</w:t>
      </w:r>
      <w:r w:rsidRPr="00B94389">
        <w:rPr>
          <w:rFonts w:ascii="Arial" w:hAnsi="Arial" w:cs="Arial"/>
          <w:sz w:val="24"/>
          <w:szCs w:val="24"/>
        </w:rPr>
        <w:tab/>
      </w:r>
      <w:r w:rsidR="007D5B13" w:rsidRPr="00B94389">
        <w:rPr>
          <w:rFonts w:ascii="Arial" w:hAnsi="Arial" w:cs="Arial"/>
          <w:sz w:val="24"/>
          <w:szCs w:val="24"/>
        </w:rPr>
        <w:t xml:space="preserve">The tribunal had observed that in the particular case, given the appellant’s claim to need someone with him for support to make sure he was safe in a social environment, the tribunal found it inconsistent that he was unaccompanied at the assessment with the DA despite stating that his partner … had left him to the assessment. </w:t>
      </w:r>
      <w:r w:rsidR="0062646E">
        <w:rPr>
          <w:rFonts w:ascii="Arial" w:hAnsi="Arial" w:cs="Arial"/>
          <w:sz w:val="24"/>
          <w:szCs w:val="24"/>
        </w:rPr>
        <w:t xml:space="preserve"> </w:t>
      </w:r>
      <w:r w:rsidR="007D5B13" w:rsidRPr="00B94389">
        <w:rPr>
          <w:rFonts w:ascii="Arial" w:hAnsi="Arial" w:cs="Arial"/>
          <w:sz w:val="24"/>
          <w:szCs w:val="24"/>
        </w:rPr>
        <w:t xml:space="preserve">It also noted that social support was defined as support from a person trained or experienced in assisting people to engage in social situations. </w:t>
      </w:r>
      <w:r w:rsidR="0062646E">
        <w:rPr>
          <w:rFonts w:ascii="Arial" w:hAnsi="Arial" w:cs="Arial"/>
          <w:sz w:val="24"/>
          <w:szCs w:val="24"/>
        </w:rPr>
        <w:t xml:space="preserve"> </w:t>
      </w:r>
      <w:r w:rsidR="007D5B13" w:rsidRPr="00B94389">
        <w:rPr>
          <w:rFonts w:ascii="Arial" w:hAnsi="Arial" w:cs="Arial"/>
          <w:sz w:val="24"/>
          <w:szCs w:val="24"/>
        </w:rPr>
        <w:t xml:space="preserve">Ms Patterson submitted that the tribunal had confined social support to a narrower meaning than that accepted by the Supreme Court. </w:t>
      </w:r>
      <w:r w:rsidR="0062646E">
        <w:rPr>
          <w:rFonts w:ascii="Arial" w:hAnsi="Arial" w:cs="Arial"/>
          <w:sz w:val="24"/>
          <w:szCs w:val="24"/>
        </w:rPr>
        <w:t xml:space="preserve"> </w:t>
      </w:r>
      <w:r w:rsidR="007D5B13" w:rsidRPr="00B94389">
        <w:rPr>
          <w:rFonts w:ascii="Arial" w:hAnsi="Arial" w:cs="Arial"/>
          <w:sz w:val="24"/>
          <w:szCs w:val="24"/>
        </w:rPr>
        <w:t>She submitted that the tribunal had not given reasons for dismissing the role of the named partner as not meeting the definition of social support and that social support could be received prior to t</w:t>
      </w:r>
      <w:r w:rsidR="0062646E">
        <w:rPr>
          <w:rFonts w:ascii="Arial" w:hAnsi="Arial" w:cs="Arial"/>
          <w:sz w:val="24"/>
          <w:szCs w:val="24"/>
        </w:rPr>
        <w:t>he event of social interaction.</w:t>
      </w:r>
    </w:p>
    <w:p w14:paraId="064B121A"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sz w:val="24"/>
          <w:szCs w:val="24"/>
        </w:rPr>
      </w:pPr>
    </w:p>
    <w:p w14:paraId="090233EF" w14:textId="77777777" w:rsidR="007D5B13" w:rsidRPr="00B94389" w:rsidRDefault="00E83A01" w:rsidP="0062646E">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23.</w:t>
      </w:r>
      <w:r w:rsidRPr="00B94389">
        <w:rPr>
          <w:rFonts w:ascii="Arial" w:hAnsi="Arial" w:cs="Arial"/>
          <w:sz w:val="24"/>
          <w:szCs w:val="24"/>
        </w:rPr>
        <w:tab/>
      </w:r>
      <w:r w:rsidR="007D5B13" w:rsidRPr="00B94389">
        <w:rPr>
          <w:rFonts w:ascii="Arial" w:hAnsi="Arial" w:cs="Arial"/>
          <w:sz w:val="24"/>
          <w:szCs w:val="24"/>
        </w:rPr>
        <w:t xml:space="preserve">I agree with Ms Patterson’s analysis of </w:t>
      </w:r>
      <w:r w:rsidR="007D5B13" w:rsidRPr="00B94389">
        <w:rPr>
          <w:rFonts w:ascii="Arial" w:hAnsi="Arial" w:cs="Arial"/>
          <w:i/>
          <w:sz w:val="24"/>
          <w:szCs w:val="24"/>
        </w:rPr>
        <w:t>SSWP v MM</w:t>
      </w:r>
      <w:r w:rsidR="007D5B13" w:rsidRPr="00B94389">
        <w:rPr>
          <w:rFonts w:ascii="Arial" w:hAnsi="Arial" w:cs="Arial"/>
          <w:sz w:val="24"/>
          <w:szCs w:val="24"/>
        </w:rPr>
        <w:t xml:space="preserve"> and I agree that the tribunal does appear to have adopted a somewhat narrower interpretation of activity 9.c than that of the Supreme Court. </w:t>
      </w:r>
      <w:r w:rsidR="0062646E">
        <w:rPr>
          <w:rFonts w:ascii="Arial" w:hAnsi="Arial" w:cs="Arial"/>
          <w:sz w:val="24"/>
          <w:szCs w:val="24"/>
        </w:rPr>
        <w:t xml:space="preserve"> </w:t>
      </w:r>
      <w:r w:rsidR="007D5B13" w:rsidRPr="00B94389">
        <w:rPr>
          <w:rFonts w:ascii="Arial" w:hAnsi="Arial" w:cs="Arial"/>
          <w:sz w:val="24"/>
          <w:szCs w:val="24"/>
        </w:rPr>
        <w:t>The difference of 2 points arising between descriptors 9.b and 9.c is potentially material, as it would increase the applicant’s point score for daily living to the rele</w:t>
      </w:r>
      <w:r w:rsidR="0062646E">
        <w:rPr>
          <w:rFonts w:ascii="Arial" w:hAnsi="Arial" w:cs="Arial"/>
          <w:sz w:val="24"/>
          <w:szCs w:val="24"/>
        </w:rPr>
        <w:t>vant threshold for entitlement.</w:t>
      </w:r>
    </w:p>
    <w:p w14:paraId="348F0C0D"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sz w:val="24"/>
          <w:szCs w:val="24"/>
        </w:rPr>
      </w:pPr>
    </w:p>
    <w:p w14:paraId="6ECE1959" w14:textId="77777777" w:rsidR="007D5B13" w:rsidRPr="00B94389" w:rsidRDefault="00E83A01" w:rsidP="0062646E">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24.</w:t>
      </w:r>
      <w:r w:rsidRPr="00B94389">
        <w:rPr>
          <w:rFonts w:ascii="Arial" w:hAnsi="Arial" w:cs="Arial"/>
          <w:sz w:val="24"/>
          <w:szCs w:val="24"/>
        </w:rPr>
        <w:tab/>
      </w:r>
      <w:r w:rsidR="007D5B13" w:rsidRPr="00B94389">
        <w:rPr>
          <w:rFonts w:ascii="Arial" w:hAnsi="Arial" w:cs="Arial"/>
          <w:sz w:val="24"/>
          <w:szCs w:val="24"/>
        </w:rPr>
        <w:t>I therefore accept that the tribunal has erred in law.</w:t>
      </w:r>
      <w:r w:rsidR="0062646E">
        <w:rPr>
          <w:rFonts w:ascii="Arial" w:hAnsi="Arial" w:cs="Arial"/>
          <w:sz w:val="24"/>
          <w:szCs w:val="24"/>
        </w:rPr>
        <w:t xml:space="preserve"> </w:t>
      </w:r>
      <w:r w:rsidR="007D5B13" w:rsidRPr="00B94389">
        <w:rPr>
          <w:rFonts w:ascii="Arial" w:hAnsi="Arial" w:cs="Arial"/>
          <w:sz w:val="24"/>
          <w:szCs w:val="24"/>
        </w:rPr>
        <w:t xml:space="preserve"> I allow the appeal and I set aside the d</w:t>
      </w:r>
      <w:r w:rsidR="0062646E">
        <w:rPr>
          <w:rFonts w:ascii="Arial" w:hAnsi="Arial" w:cs="Arial"/>
          <w:sz w:val="24"/>
          <w:szCs w:val="24"/>
        </w:rPr>
        <w:t>ecision of the appeal tribunal.</w:t>
      </w:r>
    </w:p>
    <w:p w14:paraId="73AF683C" w14:textId="77777777" w:rsidR="007D5B13" w:rsidRPr="00B94389" w:rsidRDefault="007D5B13" w:rsidP="0062646E">
      <w:pPr>
        <w:tabs>
          <w:tab w:val="left" w:pos="510"/>
          <w:tab w:val="left" w:pos="1077"/>
          <w:tab w:val="left" w:pos="1797"/>
        </w:tabs>
        <w:spacing w:after="0" w:line="240" w:lineRule="auto"/>
        <w:ind w:left="510" w:hanging="510"/>
        <w:jc w:val="both"/>
        <w:rPr>
          <w:rFonts w:ascii="Arial" w:hAnsi="Arial" w:cs="Arial"/>
          <w:sz w:val="24"/>
          <w:szCs w:val="24"/>
        </w:rPr>
      </w:pPr>
    </w:p>
    <w:p w14:paraId="2B3EBE35" w14:textId="77777777" w:rsidR="007D5B13" w:rsidRPr="00B94389" w:rsidRDefault="00E83A01" w:rsidP="0062646E">
      <w:pPr>
        <w:tabs>
          <w:tab w:val="left" w:pos="510"/>
          <w:tab w:val="left" w:pos="1077"/>
          <w:tab w:val="left" w:pos="1797"/>
        </w:tabs>
        <w:spacing w:after="0" w:line="240" w:lineRule="auto"/>
        <w:ind w:left="510" w:hanging="510"/>
        <w:jc w:val="both"/>
        <w:rPr>
          <w:rFonts w:ascii="Arial" w:hAnsi="Arial" w:cs="Arial"/>
          <w:sz w:val="24"/>
          <w:szCs w:val="24"/>
        </w:rPr>
      </w:pPr>
      <w:r w:rsidRPr="00B94389">
        <w:rPr>
          <w:rFonts w:ascii="Arial" w:hAnsi="Arial" w:cs="Arial"/>
          <w:sz w:val="24"/>
          <w:szCs w:val="24"/>
        </w:rPr>
        <w:t>25.</w:t>
      </w:r>
      <w:r w:rsidRPr="00B94389">
        <w:rPr>
          <w:rFonts w:ascii="Arial" w:hAnsi="Arial" w:cs="Arial"/>
          <w:sz w:val="24"/>
          <w:szCs w:val="24"/>
        </w:rPr>
        <w:tab/>
      </w:r>
      <w:r w:rsidR="007D5B13" w:rsidRPr="00B94389">
        <w:rPr>
          <w:rFonts w:ascii="Arial" w:hAnsi="Arial" w:cs="Arial"/>
          <w:sz w:val="24"/>
          <w:szCs w:val="24"/>
        </w:rPr>
        <w:t xml:space="preserve">I understand that the simplest approach would be to determine the appeal myself and that there are many factors that would support that approach. </w:t>
      </w:r>
      <w:r w:rsidR="0062646E">
        <w:rPr>
          <w:rFonts w:ascii="Arial" w:hAnsi="Arial" w:cs="Arial"/>
          <w:sz w:val="24"/>
          <w:szCs w:val="24"/>
        </w:rPr>
        <w:t xml:space="preserve"> </w:t>
      </w:r>
      <w:r w:rsidR="007D5B13" w:rsidRPr="00B94389">
        <w:rPr>
          <w:rFonts w:ascii="Arial" w:hAnsi="Arial" w:cs="Arial"/>
          <w:sz w:val="24"/>
          <w:szCs w:val="24"/>
        </w:rPr>
        <w:t>Regrettably, however, I consider that further evidence of the nature of the support given would be necess</w:t>
      </w:r>
      <w:r w:rsidR="0062646E">
        <w:rPr>
          <w:rFonts w:ascii="Arial" w:hAnsi="Arial" w:cs="Arial"/>
          <w:sz w:val="24"/>
          <w:szCs w:val="24"/>
        </w:rPr>
        <w:t xml:space="preserve">ary to </w:t>
      </w:r>
      <w:r w:rsidR="007D5B13" w:rsidRPr="00B94389">
        <w:rPr>
          <w:rFonts w:ascii="Arial" w:hAnsi="Arial" w:cs="Arial"/>
          <w:sz w:val="24"/>
          <w:szCs w:val="24"/>
        </w:rPr>
        <w:t>determine the appeal.</w:t>
      </w:r>
      <w:r w:rsidR="0062646E">
        <w:rPr>
          <w:rFonts w:ascii="Arial" w:hAnsi="Arial" w:cs="Arial"/>
          <w:sz w:val="24"/>
          <w:szCs w:val="24"/>
        </w:rPr>
        <w:t xml:space="preserve"> </w:t>
      </w:r>
      <w:r w:rsidR="007D5B13" w:rsidRPr="00B94389">
        <w:rPr>
          <w:rFonts w:ascii="Arial" w:hAnsi="Arial" w:cs="Arial"/>
          <w:sz w:val="24"/>
          <w:szCs w:val="24"/>
        </w:rPr>
        <w:t xml:space="preserve"> It appears to me that I must set aside the decision of the appeal tribunal under Article 15(8)(b) of the Social Security (NI) Order 1998 and refer it to a newly constituted tribunal for determination.</w:t>
      </w:r>
    </w:p>
    <w:p w14:paraId="2113CD33" w14:textId="77777777" w:rsidR="00E83A01" w:rsidRPr="00B94389" w:rsidRDefault="00E83A01" w:rsidP="00B94389">
      <w:pPr>
        <w:spacing w:after="0" w:line="240" w:lineRule="auto"/>
        <w:rPr>
          <w:rFonts w:ascii="Arial" w:hAnsi="Arial" w:cs="Arial"/>
          <w:sz w:val="24"/>
          <w:szCs w:val="24"/>
        </w:rPr>
      </w:pPr>
    </w:p>
    <w:p w14:paraId="0FB3DE1E" w14:textId="77777777" w:rsidR="00E83A01" w:rsidRPr="00B94389" w:rsidRDefault="00E83A01" w:rsidP="00B94389">
      <w:pPr>
        <w:spacing w:after="0" w:line="240" w:lineRule="auto"/>
        <w:rPr>
          <w:rFonts w:ascii="Arial" w:hAnsi="Arial" w:cs="Arial"/>
          <w:sz w:val="24"/>
          <w:szCs w:val="24"/>
        </w:rPr>
      </w:pPr>
    </w:p>
    <w:p w14:paraId="025CEE68" w14:textId="77777777" w:rsidR="00E83A01" w:rsidRPr="00B94389" w:rsidRDefault="00E83A01" w:rsidP="00B94389">
      <w:pPr>
        <w:spacing w:after="0" w:line="240" w:lineRule="auto"/>
        <w:rPr>
          <w:rFonts w:ascii="Arial" w:hAnsi="Arial" w:cs="Arial"/>
          <w:sz w:val="24"/>
          <w:szCs w:val="24"/>
        </w:rPr>
      </w:pPr>
    </w:p>
    <w:p w14:paraId="4232C686" w14:textId="77777777" w:rsidR="00E83A01" w:rsidRDefault="00E83A01" w:rsidP="0062646E">
      <w:pPr>
        <w:spacing w:after="0" w:line="240" w:lineRule="auto"/>
        <w:rPr>
          <w:rFonts w:ascii="Arial" w:hAnsi="Arial" w:cs="Arial"/>
          <w:sz w:val="24"/>
          <w:szCs w:val="24"/>
        </w:rPr>
      </w:pPr>
      <w:r w:rsidRPr="00B94389">
        <w:rPr>
          <w:rFonts w:ascii="Arial" w:hAnsi="Arial" w:cs="Arial"/>
          <w:sz w:val="24"/>
          <w:szCs w:val="24"/>
        </w:rPr>
        <w:t>(signed)</w:t>
      </w:r>
      <w:r w:rsidR="0062646E">
        <w:rPr>
          <w:rFonts w:ascii="Arial" w:hAnsi="Arial" w:cs="Arial"/>
          <w:sz w:val="24"/>
          <w:szCs w:val="24"/>
        </w:rPr>
        <w:t xml:space="preserve">:  </w:t>
      </w:r>
      <w:r w:rsidRPr="0062646E">
        <w:rPr>
          <w:rFonts w:ascii="Arial" w:hAnsi="Arial" w:cs="Arial"/>
          <w:sz w:val="24"/>
          <w:szCs w:val="24"/>
        </w:rPr>
        <w:t>O Stockman</w:t>
      </w:r>
    </w:p>
    <w:p w14:paraId="30F6EC1B" w14:textId="77777777" w:rsidR="0062646E" w:rsidRPr="0062646E" w:rsidRDefault="0062646E" w:rsidP="0062646E">
      <w:pPr>
        <w:spacing w:after="0" w:line="240" w:lineRule="auto"/>
        <w:rPr>
          <w:rFonts w:ascii="Arial" w:hAnsi="Arial" w:cs="Arial"/>
          <w:sz w:val="24"/>
          <w:szCs w:val="24"/>
        </w:rPr>
      </w:pPr>
    </w:p>
    <w:p w14:paraId="0BCCA818" w14:textId="77777777" w:rsidR="00E83A01" w:rsidRPr="0062646E" w:rsidRDefault="00E83A01" w:rsidP="0062646E">
      <w:pPr>
        <w:spacing w:after="0" w:line="240" w:lineRule="auto"/>
        <w:rPr>
          <w:rFonts w:ascii="Arial" w:hAnsi="Arial" w:cs="Arial"/>
          <w:sz w:val="24"/>
          <w:szCs w:val="24"/>
        </w:rPr>
      </w:pPr>
      <w:r w:rsidRPr="0062646E">
        <w:rPr>
          <w:rFonts w:ascii="Arial" w:hAnsi="Arial" w:cs="Arial"/>
          <w:sz w:val="24"/>
          <w:szCs w:val="24"/>
        </w:rPr>
        <w:t>Commissioner</w:t>
      </w:r>
    </w:p>
    <w:p w14:paraId="455963DB" w14:textId="77777777" w:rsidR="00E83A01" w:rsidRDefault="00E83A01" w:rsidP="0062646E">
      <w:pPr>
        <w:spacing w:after="0" w:line="240" w:lineRule="auto"/>
        <w:rPr>
          <w:rFonts w:ascii="Arial" w:hAnsi="Arial" w:cs="Arial"/>
          <w:sz w:val="24"/>
          <w:szCs w:val="24"/>
        </w:rPr>
      </w:pPr>
    </w:p>
    <w:p w14:paraId="115898CF" w14:textId="77777777" w:rsidR="0062646E" w:rsidRDefault="0062646E" w:rsidP="0062646E">
      <w:pPr>
        <w:spacing w:after="0" w:line="240" w:lineRule="auto"/>
        <w:rPr>
          <w:rFonts w:ascii="Arial" w:hAnsi="Arial" w:cs="Arial"/>
          <w:sz w:val="24"/>
          <w:szCs w:val="24"/>
        </w:rPr>
      </w:pPr>
    </w:p>
    <w:p w14:paraId="0EEB0549" w14:textId="77777777" w:rsidR="0062646E" w:rsidRPr="0062646E" w:rsidRDefault="0062646E" w:rsidP="0062646E">
      <w:pPr>
        <w:spacing w:after="0" w:line="240" w:lineRule="auto"/>
        <w:rPr>
          <w:rFonts w:ascii="Arial" w:hAnsi="Arial" w:cs="Arial"/>
          <w:sz w:val="24"/>
          <w:szCs w:val="24"/>
        </w:rPr>
      </w:pPr>
    </w:p>
    <w:p w14:paraId="69366AF4" w14:textId="77777777" w:rsidR="007D5B13" w:rsidRPr="0062646E" w:rsidRDefault="00E83A01" w:rsidP="0062646E">
      <w:pPr>
        <w:spacing w:after="0" w:line="240" w:lineRule="auto"/>
        <w:rPr>
          <w:rFonts w:ascii="Arial" w:hAnsi="Arial" w:cs="Arial"/>
          <w:sz w:val="24"/>
          <w:szCs w:val="24"/>
          <w:lang w:val="en-US"/>
        </w:rPr>
      </w:pPr>
      <w:r w:rsidRPr="0062646E">
        <w:rPr>
          <w:rFonts w:ascii="Arial" w:hAnsi="Arial" w:cs="Arial"/>
          <w:sz w:val="24"/>
          <w:szCs w:val="24"/>
        </w:rPr>
        <w:t>26 May 2021</w:t>
      </w:r>
    </w:p>
    <w:sectPr w:rsidR="007D5B13" w:rsidRPr="0062646E" w:rsidSect="00B94389">
      <w:footerReference w:type="default" r:id="rId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839E" w14:textId="77777777" w:rsidR="00A10563" w:rsidRDefault="00A10563" w:rsidP="007D5B13">
      <w:pPr>
        <w:spacing w:after="0" w:line="240" w:lineRule="auto"/>
      </w:pPr>
      <w:r>
        <w:separator/>
      </w:r>
    </w:p>
  </w:endnote>
  <w:endnote w:type="continuationSeparator" w:id="0">
    <w:p w14:paraId="55CDF3A0" w14:textId="77777777" w:rsidR="00A10563" w:rsidRDefault="00A10563" w:rsidP="007D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D57C" w14:textId="77777777" w:rsidR="007D5B13" w:rsidRPr="00B94389" w:rsidRDefault="007D5B13" w:rsidP="00B94389">
    <w:pPr>
      <w:pStyle w:val="Footer"/>
      <w:jc w:val="center"/>
      <w:rPr>
        <w:rFonts w:ascii="Arial" w:hAnsi="Arial" w:cs="Arial"/>
        <w:sz w:val="24"/>
        <w:szCs w:val="24"/>
      </w:rPr>
    </w:pPr>
    <w:r w:rsidRPr="00B94389">
      <w:rPr>
        <w:rFonts w:ascii="Arial" w:hAnsi="Arial" w:cs="Arial"/>
        <w:sz w:val="24"/>
        <w:szCs w:val="24"/>
      </w:rPr>
      <w:fldChar w:fldCharType="begin"/>
    </w:r>
    <w:r w:rsidRPr="00B94389">
      <w:rPr>
        <w:rFonts w:ascii="Arial" w:hAnsi="Arial" w:cs="Arial"/>
        <w:sz w:val="24"/>
        <w:szCs w:val="24"/>
      </w:rPr>
      <w:instrText xml:space="preserve"> PAGE   \* MERGEFORMAT </w:instrText>
    </w:r>
    <w:r w:rsidRPr="00B94389">
      <w:rPr>
        <w:rFonts w:ascii="Arial" w:hAnsi="Arial" w:cs="Arial"/>
        <w:sz w:val="24"/>
        <w:szCs w:val="24"/>
      </w:rPr>
      <w:fldChar w:fldCharType="separate"/>
    </w:r>
    <w:r w:rsidR="00F75D69">
      <w:rPr>
        <w:rFonts w:ascii="Arial" w:hAnsi="Arial" w:cs="Arial"/>
        <w:noProof/>
        <w:sz w:val="24"/>
        <w:szCs w:val="24"/>
      </w:rPr>
      <w:t>1</w:t>
    </w:r>
    <w:r w:rsidRPr="00B94389">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FDA3" w14:textId="77777777" w:rsidR="00A10563" w:rsidRDefault="00A10563" w:rsidP="007D5B13">
      <w:pPr>
        <w:spacing w:after="0" w:line="240" w:lineRule="auto"/>
      </w:pPr>
      <w:r>
        <w:separator/>
      </w:r>
    </w:p>
  </w:footnote>
  <w:footnote w:type="continuationSeparator" w:id="0">
    <w:p w14:paraId="17DFC16A" w14:textId="77777777" w:rsidR="00A10563" w:rsidRDefault="00A10563" w:rsidP="007D5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13"/>
    <w:rsid w:val="00100D93"/>
    <w:rsid w:val="00177639"/>
    <w:rsid w:val="001E6788"/>
    <w:rsid w:val="00284C98"/>
    <w:rsid w:val="00402202"/>
    <w:rsid w:val="00484A91"/>
    <w:rsid w:val="004B1A87"/>
    <w:rsid w:val="0062646E"/>
    <w:rsid w:val="0065693E"/>
    <w:rsid w:val="007D5B13"/>
    <w:rsid w:val="00882BE1"/>
    <w:rsid w:val="00905E5A"/>
    <w:rsid w:val="00A10563"/>
    <w:rsid w:val="00B15404"/>
    <w:rsid w:val="00B7405D"/>
    <w:rsid w:val="00B94389"/>
    <w:rsid w:val="00E03CEF"/>
    <w:rsid w:val="00E83A01"/>
    <w:rsid w:val="00F75D69"/>
    <w:rsid w:val="00F85723"/>
    <w:rsid w:val="00F8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F14C"/>
  <w15:chartTrackingRefBased/>
  <w15:docId w15:val="{D5A6111D-9F1A-4566-850A-F814F7E4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5B13"/>
    <w:rPr>
      <w:color w:val="0000FF"/>
      <w:u w:val="single"/>
    </w:rPr>
  </w:style>
  <w:style w:type="paragraph" w:styleId="Header">
    <w:name w:val="header"/>
    <w:basedOn w:val="Normal"/>
    <w:link w:val="HeaderChar"/>
    <w:uiPriority w:val="99"/>
    <w:unhideWhenUsed/>
    <w:rsid w:val="007D5B13"/>
    <w:pPr>
      <w:tabs>
        <w:tab w:val="center" w:pos="4513"/>
        <w:tab w:val="right" w:pos="9026"/>
      </w:tabs>
    </w:pPr>
  </w:style>
  <w:style w:type="character" w:customStyle="1" w:styleId="HeaderChar">
    <w:name w:val="Header Char"/>
    <w:link w:val="Header"/>
    <w:uiPriority w:val="99"/>
    <w:rsid w:val="007D5B13"/>
    <w:rPr>
      <w:sz w:val="22"/>
      <w:szCs w:val="22"/>
      <w:lang w:eastAsia="en-US"/>
    </w:rPr>
  </w:style>
  <w:style w:type="paragraph" w:styleId="Footer">
    <w:name w:val="footer"/>
    <w:basedOn w:val="Normal"/>
    <w:link w:val="FooterChar"/>
    <w:uiPriority w:val="99"/>
    <w:unhideWhenUsed/>
    <w:rsid w:val="007D5B13"/>
    <w:pPr>
      <w:tabs>
        <w:tab w:val="center" w:pos="4513"/>
        <w:tab w:val="right" w:pos="9026"/>
      </w:tabs>
    </w:pPr>
  </w:style>
  <w:style w:type="character" w:customStyle="1" w:styleId="FooterChar">
    <w:name w:val="Footer Char"/>
    <w:link w:val="Footer"/>
    <w:uiPriority w:val="99"/>
    <w:rsid w:val="007D5B13"/>
    <w:rPr>
      <w:sz w:val="22"/>
      <w:szCs w:val="22"/>
      <w:lang w:eastAsia="en-US"/>
    </w:rPr>
  </w:style>
  <w:style w:type="paragraph" w:styleId="BalloonText">
    <w:name w:val="Balloon Text"/>
    <w:basedOn w:val="Normal"/>
    <w:link w:val="BalloonTextChar"/>
    <w:uiPriority w:val="99"/>
    <w:semiHidden/>
    <w:unhideWhenUsed/>
    <w:rsid w:val="00484A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84A9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C4/21-22(PIP)</vt:lpstr>
    </vt:vector>
  </TitlesOfParts>
  <Company/>
  <LinksUpToDate>false</LinksUpToDate>
  <CharactersWithSpaces>13311</CharactersWithSpaces>
  <SharedDoc>false</SharedDoc>
  <HLinks>
    <vt:vector size="42" baseType="variant">
      <vt:variant>
        <vt:i4>917533</vt:i4>
      </vt:variant>
      <vt:variant>
        <vt:i4>18</vt:i4>
      </vt:variant>
      <vt:variant>
        <vt:i4>0</vt:i4>
      </vt:variant>
      <vt:variant>
        <vt:i4>5</vt:i4>
      </vt:variant>
      <vt:variant>
        <vt:lpwstr/>
      </vt:variant>
      <vt:variant>
        <vt:lpwstr>PsychologicalDistress</vt:lpwstr>
      </vt:variant>
      <vt:variant>
        <vt:i4>7929976</vt:i4>
      </vt:variant>
      <vt:variant>
        <vt:i4>15</vt:i4>
      </vt:variant>
      <vt:variant>
        <vt:i4>0</vt:i4>
      </vt:variant>
      <vt:variant>
        <vt:i4>5</vt:i4>
      </vt:variant>
      <vt:variant>
        <vt:lpwstr/>
      </vt:variant>
      <vt:variant>
        <vt:lpwstr>EngageSocially</vt:lpwstr>
      </vt:variant>
      <vt:variant>
        <vt:i4>7929976</vt:i4>
      </vt:variant>
      <vt:variant>
        <vt:i4>12</vt:i4>
      </vt:variant>
      <vt:variant>
        <vt:i4>0</vt:i4>
      </vt:variant>
      <vt:variant>
        <vt:i4>5</vt:i4>
      </vt:variant>
      <vt:variant>
        <vt:lpwstr/>
      </vt:variant>
      <vt:variant>
        <vt:lpwstr>EngageSocially</vt:lpwstr>
      </vt:variant>
      <vt:variant>
        <vt:i4>1900573</vt:i4>
      </vt:variant>
      <vt:variant>
        <vt:i4>9</vt:i4>
      </vt:variant>
      <vt:variant>
        <vt:i4>0</vt:i4>
      </vt:variant>
      <vt:variant>
        <vt:i4>5</vt:i4>
      </vt:variant>
      <vt:variant>
        <vt:lpwstr/>
      </vt:variant>
      <vt:variant>
        <vt:lpwstr>SocialSupport</vt:lpwstr>
      </vt:variant>
      <vt:variant>
        <vt:i4>7929976</vt:i4>
      </vt:variant>
      <vt:variant>
        <vt:i4>6</vt:i4>
      </vt:variant>
      <vt:variant>
        <vt:i4>0</vt:i4>
      </vt:variant>
      <vt:variant>
        <vt:i4>5</vt:i4>
      </vt:variant>
      <vt:variant>
        <vt:lpwstr/>
      </vt:variant>
      <vt:variant>
        <vt:lpwstr>EngageSocially</vt:lpwstr>
      </vt:variant>
      <vt:variant>
        <vt:i4>327686</vt:i4>
      </vt:variant>
      <vt:variant>
        <vt:i4>3</vt:i4>
      </vt:variant>
      <vt:variant>
        <vt:i4>0</vt:i4>
      </vt:variant>
      <vt:variant>
        <vt:i4>5</vt:i4>
      </vt:variant>
      <vt:variant>
        <vt:lpwstr/>
      </vt:variant>
      <vt:variant>
        <vt:lpwstr>Prompting</vt:lpwstr>
      </vt:variant>
      <vt:variant>
        <vt:i4>6422640</vt:i4>
      </vt:variant>
      <vt:variant>
        <vt:i4>0</vt:i4>
      </vt:variant>
      <vt:variant>
        <vt:i4>0</vt:i4>
      </vt:variant>
      <vt:variant>
        <vt:i4>5</vt:i4>
      </vt:variant>
      <vt:variant>
        <vt:lpwstr/>
      </vt:variant>
      <vt:variant>
        <vt:lpwstr>Unaided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C4/21-22(PIP)</dc:title>
  <dc:subject/>
  <dc:creator>Bowman, Marie</dc:creator>
  <cp:keywords/>
  <dc:description/>
  <cp:lastModifiedBy>Margaret Carson (LCNI)</cp:lastModifiedBy>
  <cp:revision>2</cp:revision>
  <cp:lastPrinted>2021-06-02T10:50:00Z</cp:lastPrinted>
  <dcterms:created xsi:type="dcterms:W3CDTF">2021-07-21T09:24:00Z</dcterms:created>
  <dcterms:modified xsi:type="dcterms:W3CDTF">2021-07-21T09:24:00Z</dcterms:modified>
</cp:coreProperties>
</file>